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5E26" w14:textId="6A90ADC1" w:rsidR="00E153A9" w:rsidRPr="00D22E7E" w:rsidRDefault="00403741" w:rsidP="00E153A9">
      <w:pPr>
        <w:spacing w:after="0" w:line="240" w:lineRule="auto"/>
        <w:jc w:val="center"/>
        <w:rPr>
          <w:rFonts w:eastAsia="Calibri" w:cs="Times New Roman"/>
          <w:b/>
          <w:color w:val="EE0000"/>
          <w:szCs w:val="24"/>
        </w:rPr>
      </w:pPr>
      <w:bookmarkStart w:id="0" w:name="_Hlk167975965"/>
      <w:r w:rsidRPr="005E7386">
        <w:rPr>
          <w:rFonts w:eastAsia="Calibri" w:cs="Times New Roman"/>
          <w:b/>
          <w:szCs w:val="24"/>
        </w:rPr>
        <w:t xml:space="preserve">PAPILDOMAS SUSITARIMAS Nr. </w:t>
      </w:r>
      <w:r w:rsidR="00D22E7E" w:rsidRPr="00507BFA">
        <w:rPr>
          <w:rFonts w:eastAsia="Calibri" w:cs="Times New Roman"/>
          <w:b/>
          <w:szCs w:val="24"/>
        </w:rPr>
        <w:t>1</w:t>
      </w:r>
      <w:r w:rsidR="004B5BAD">
        <w:rPr>
          <w:rFonts w:eastAsia="Calibri" w:cs="Times New Roman"/>
          <w:b/>
          <w:szCs w:val="24"/>
        </w:rPr>
        <w:t>1</w:t>
      </w:r>
      <w:r w:rsidR="00D0034D">
        <w:rPr>
          <w:rFonts w:eastAsia="Calibri" w:cs="Times New Roman"/>
          <w:b/>
          <w:szCs w:val="24"/>
        </w:rPr>
        <w:t>/</w:t>
      </w:r>
      <w:r w:rsidR="0063381E">
        <w:rPr>
          <w:rFonts w:eastAsia="Calibri" w:cs="Times New Roman"/>
          <w:b/>
          <w:szCs w:val="24"/>
        </w:rPr>
        <w:t>S-</w:t>
      </w:r>
      <w:r w:rsidR="00D0034D">
        <w:rPr>
          <w:rFonts w:eastAsia="Calibri" w:cs="Times New Roman"/>
          <w:b/>
          <w:szCs w:val="24"/>
        </w:rPr>
        <w:t>23867</w:t>
      </w:r>
    </w:p>
    <w:p w14:paraId="41B0C4FA" w14:textId="708A4141" w:rsidR="00E153A9" w:rsidRPr="005E7386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PRIE 202</w:t>
      </w:r>
      <w:r w:rsidR="00673199" w:rsidRPr="005E7386">
        <w:rPr>
          <w:rFonts w:eastAsia="Calibri" w:cs="Times New Roman"/>
          <w:b/>
          <w:szCs w:val="24"/>
        </w:rPr>
        <w:t>2</w:t>
      </w:r>
      <w:r w:rsidRPr="005E7386">
        <w:rPr>
          <w:rFonts w:eastAsia="Calibri" w:cs="Times New Roman"/>
          <w:b/>
          <w:szCs w:val="24"/>
        </w:rPr>
        <w:t>-12-0</w:t>
      </w:r>
      <w:r w:rsidR="00673199" w:rsidRPr="005E7386">
        <w:rPr>
          <w:rFonts w:eastAsia="Calibri" w:cs="Times New Roman"/>
          <w:b/>
          <w:szCs w:val="24"/>
        </w:rPr>
        <w:t>5</w:t>
      </w:r>
      <w:r w:rsidRPr="005E7386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5E7386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Nr. S-</w:t>
      </w:r>
      <w:r w:rsidR="00C93776" w:rsidRPr="005E7386">
        <w:rPr>
          <w:rFonts w:eastAsia="Calibri" w:cs="Times New Roman"/>
          <w:b/>
          <w:szCs w:val="24"/>
        </w:rPr>
        <w:t>20553</w:t>
      </w:r>
    </w:p>
    <w:p w14:paraId="42C89037" w14:textId="390B0036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20</w:t>
      </w:r>
      <w:r w:rsidR="00AC24B9" w:rsidRPr="005E7386">
        <w:rPr>
          <w:rFonts w:eastAsia="Calibri" w:cs="Times New Roman"/>
          <w:b/>
          <w:szCs w:val="24"/>
        </w:rPr>
        <w:t>2</w:t>
      </w:r>
      <w:r w:rsidR="005E7386">
        <w:rPr>
          <w:rFonts w:eastAsia="Calibri" w:cs="Times New Roman"/>
          <w:b/>
          <w:szCs w:val="24"/>
        </w:rPr>
        <w:t>5</w:t>
      </w:r>
      <w:r w:rsidRPr="005E7386">
        <w:rPr>
          <w:rFonts w:eastAsia="Calibri" w:cs="Times New Roman"/>
          <w:b/>
          <w:szCs w:val="24"/>
        </w:rPr>
        <w:t xml:space="preserve"> m. </w:t>
      </w:r>
      <w:r w:rsidR="00D0034D">
        <w:rPr>
          <w:rFonts w:eastAsia="Calibri" w:cs="Times New Roman"/>
          <w:b/>
          <w:szCs w:val="24"/>
        </w:rPr>
        <w:t>spalio 1</w:t>
      </w:r>
      <w:r w:rsidRPr="005E7386">
        <w:rPr>
          <w:rFonts w:eastAsia="Calibri" w:cs="Times New Roman"/>
          <w:b/>
          <w:szCs w:val="24"/>
        </w:rPr>
        <w:t xml:space="preserve"> 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</w:p>
    <w:p w14:paraId="23517023" w14:textId="5A4CFFB0" w:rsidR="00E153A9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12F70892" w14:textId="77777777" w:rsidR="005E7386" w:rsidRPr="00E3431D" w:rsidRDefault="005E7386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bookmarkEnd w:id="0"/>
    <w:p w14:paraId="0647C69C" w14:textId="57C773A5" w:rsidR="00AA4B1E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</w:t>
      </w:r>
      <w:r w:rsidR="00FD0F5C">
        <w:rPr>
          <w:rFonts w:eastAsia="Calibri" w:cs="Times New Roman"/>
          <w:szCs w:val="24"/>
        </w:rPr>
        <w:t xml:space="preserve"> administracijos direktorės</w:t>
      </w:r>
      <w:r w:rsidRPr="00E3431D">
        <w:rPr>
          <w:rFonts w:eastAsia="Calibri" w:cs="Times New Roman"/>
          <w:szCs w:val="24"/>
        </w:rPr>
        <w:t>, veikiančio</w:t>
      </w:r>
      <w:r w:rsidR="00FD0F5C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</w:t>
      </w:r>
      <w:r w:rsidR="00FD0F5C">
        <w:rPr>
          <w:rFonts w:eastAsia="Calibri" w:cs="Times New Roman"/>
          <w:szCs w:val="24"/>
        </w:rPr>
        <w:t>uždarosios akcinės bendrovės</w:t>
      </w:r>
      <w:r w:rsidRPr="00E3431D">
        <w:rPr>
          <w:rFonts w:eastAsia="Calibri" w:cs="Times New Roman"/>
          <w:szCs w:val="24"/>
        </w:rPr>
        <w:t xml:space="preserve"> Telšių autobusų parko, ku</w:t>
      </w:r>
      <w:bookmarkStart w:id="1" w:name="_GoBack"/>
      <w:bookmarkEnd w:id="1"/>
      <w:r w:rsidRPr="00E3431D">
        <w:rPr>
          <w:rFonts w:eastAsia="Calibri" w:cs="Times New Roman"/>
          <w:szCs w:val="24"/>
        </w:rPr>
        <w:t xml:space="preserve">rio kodas 180193231, buveinės adresas: Gedimino g. 1, Telšiai (toliau – Vežėjas), </w:t>
      </w:r>
      <w:r w:rsidR="009C22B7" w:rsidRPr="00E3431D">
        <w:rPr>
          <w:rFonts w:eastAsia="Calibri" w:cs="Times New Roman"/>
          <w:szCs w:val="24"/>
        </w:rPr>
        <w:t>atstovaujama</w:t>
      </w:r>
      <w:r w:rsidR="009C22B7">
        <w:rPr>
          <w:rFonts w:eastAsia="Calibri" w:cs="Times New Roman"/>
          <w:szCs w:val="24"/>
        </w:rPr>
        <w:t xml:space="preserve"> </w:t>
      </w:r>
      <w:r w:rsidR="00447D65">
        <w:rPr>
          <w:rFonts w:eastAsia="Calibri" w:cs="Times New Roman"/>
          <w:szCs w:val="24"/>
        </w:rPr>
        <w:t xml:space="preserve">technikos </w:t>
      </w:r>
      <w:r w:rsidR="00FC1F02">
        <w:rPr>
          <w:rFonts w:eastAsia="Calibri" w:cs="Times New Roman"/>
          <w:szCs w:val="24"/>
        </w:rPr>
        <w:t>direktoriaus</w:t>
      </w:r>
      <w:r w:rsidR="008B7A78">
        <w:rPr>
          <w:rFonts w:eastAsia="Calibri" w:cs="Times New Roman"/>
          <w:szCs w:val="24"/>
        </w:rPr>
        <w:t>, laikinai atliekančio direktoriaus funkcijas</w:t>
      </w:r>
      <w:r w:rsidR="009C22B7" w:rsidRPr="00E3431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veikiančio pagal </w:t>
      </w:r>
      <w:r w:rsidR="00FD0F5C">
        <w:rPr>
          <w:rFonts w:eastAsia="Calibri" w:cs="Times New Roman"/>
          <w:szCs w:val="24"/>
        </w:rPr>
        <w:t>uždarosios akcinės bendrovės Telšių autobusų parko</w:t>
      </w:r>
      <w:r w:rsidRPr="00E3431D">
        <w:rPr>
          <w:rFonts w:eastAsia="Calibri" w:cs="Times New Roman"/>
          <w:szCs w:val="24"/>
        </w:rPr>
        <w:t xml:space="preserve">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</w:t>
      </w:r>
      <w:r w:rsidR="00FD0F5C">
        <w:rPr>
          <w:rFonts w:eastAsia="Calibri" w:cs="Times New Roman"/>
          <w:szCs w:val="24"/>
        </w:rPr>
        <w:t>Nr. S-20553 8.4 punktu ir atsižvelgdami į Telšių rajono savivaldybės keleivinio transporto organizavimo komisijos 2025-0</w:t>
      </w:r>
      <w:r w:rsidR="004B5BAD">
        <w:rPr>
          <w:rFonts w:eastAsia="Calibri" w:cs="Times New Roman"/>
          <w:szCs w:val="24"/>
        </w:rPr>
        <w:t>9</w:t>
      </w:r>
      <w:r w:rsidR="00FD0F5C">
        <w:rPr>
          <w:rFonts w:eastAsia="Calibri" w:cs="Times New Roman"/>
          <w:szCs w:val="24"/>
        </w:rPr>
        <w:t>-1</w:t>
      </w:r>
      <w:r w:rsidR="004B5BAD">
        <w:rPr>
          <w:rFonts w:eastAsia="Calibri" w:cs="Times New Roman"/>
          <w:szCs w:val="24"/>
        </w:rPr>
        <w:t>2</w:t>
      </w:r>
      <w:r w:rsidR="00FD0F5C">
        <w:rPr>
          <w:rFonts w:eastAsia="Calibri" w:cs="Times New Roman"/>
          <w:szCs w:val="24"/>
        </w:rPr>
        <w:t xml:space="preserve"> posėdžio </w:t>
      </w:r>
      <w:r w:rsidRPr="00E3431D">
        <w:rPr>
          <w:rFonts w:eastAsia="Calibri" w:cs="Times New Roman"/>
          <w:szCs w:val="24"/>
        </w:rPr>
        <w:t xml:space="preserve">Nr. </w:t>
      </w:r>
      <w:r w:rsidR="007F3D5B">
        <w:rPr>
          <w:rFonts w:eastAsia="Calibri" w:cs="Times New Roman"/>
          <w:szCs w:val="24"/>
        </w:rPr>
        <w:t>T21-</w:t>
      </w:r>
      <w:r w:rsidR="004B5BAD">
        <w:rPr>
          <w:rFonts w:eastAsia="Calibri" w:cs="Times New Roman"/>
          <w:szCs w:val="24"/>
        </w:rPr>
        <w:t>4</w:t>
      </w:r>
      <w:r w:rsidR="00FC1F02">
        <w:rPr>
          <w:rFonts w:eastAsia="Calibri" w:cs="Times New Roman"/>
          <w:szCs w:val="24"/>
        </w:rPr>
        <w:t xml:space="preserve"> protokolą, </w:t>
      </w:r>
      <w:r w:rsidRPr="00E3431D">
        <w:rPr>
          <w:rFonts w:eastAsia="Calibri" w:cs="Times New Roman"/>
          <w:szCs w:val="24"/>
        </w:rPr>
        <w:t xml:space="preserve"> susitarė</w:t>
      </w:r>
      <w:r w:rsidR="00FD0F5C">
        <w:rPr>
          <w:rFonts w:eastAsia="Calibri" w:cs="Times New Roman"/>
          <w:szCs w:val="24"/>
        </w:rPr>
        <w:t>me</w:t>
      </w:r>
      <w:r w:rsidRPr="00E3431D">
        <w:rPr>
          <w:rFonts w:eastAsia="Calibri" w:cs="Times New Roman"/>
          <w:szCs w:val="24"/>
        </w:rPr>
        <w:t>:</w:t>
      </w:r>
    </w:p>
    <w:p w14:paraId="6D32A776" w14:textId="77777777" w:rsidR="00D30A63" w:rsidRDefault="00474FF7" w:rsidP="00D30A63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 Pakeisti 2022-12-05 </w:t>
      </w:r>
      <w:bookmarkStart w:id="2" w:name="_Hlk167975928"/>
      <w:r w:rsidRPr="00181B2A">
        <w:rPr>
          <w:rFonts w:eastAsia="Calibri" w:cs="Times New Roman"/>
          <w:szCs w:val="24"/>
        </w:rPr>
        <w:t>Keleivių vežimo viešųjų paslaugų teikimo sutarties Nr. S-20553</w:t>
      </w:r>
      <w:r w:rsidR="004D5E4B">
        <w:rPr>
          <w:rFonts w:eastAsia="Calibri" w:cs="Times New Roman"/>
          <w:szCs w:val="24"/>
        </w:rPr>
        <w:t>:</w:t>
      </w:r>
      <w:r w:rsidRPr="00181B2A">
        <w:rPr>
          <w:rFonts w:eastAsia="Calibri" w:cs="Times New Roman"/>
          <w:szCs w:val="24"/>
        </w:rPr>
        <w:t xml:space="preserve"> </w:t>
      </w:r>
    </w:p>
    <w:p w14:paraId="47E68679" w14:textId="724571FB" w:rsidR="00474FF7" w:rsidRDefault="004D5E4B" w:rsidP="00D30A63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1.1. pakeisti 1.1.54.2 </w:t>
      </w:r>
      <w:r w:rsidR="005D0E85">
        <w:rPr>
          <w:rFonts w:eastAsia="Calibri" w:cs="Times New Roman"/>
          <w:szCs w:val="24"/>
        </w:rPr>
        <w:t>papunktį ir jį išdėstyti taip:</w:t>
      </w:r>
    </w:p>
    <w:p w14:paraId="5DD85698" w14:textId="465EAAC5" w:rsidR="00474FF7" w:rsidRPr="00474FF7" w:rsidRDefault="00474FF7" w:rsidP="00812DB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„</w:t>
      </w:r>
      <w:r w:rsidRPr="00474FF7">
        <w:rPr>
          <w:rFonts w:eastAsia="Calibri" w:cs="Times New Roman"/>
          <w:szCs w:val="24"/>
        </w:rPr>
        <w:t xml:space="preserve">1.1.54.2. Nr.1.  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“–„Saulėtekio g.“</w:t>
      </w:r>
      <w:r w:rsidR="00402B4D" w:rsidRPr="00474FF7">
        <w:rPr>
          <w:rFonts w:eastAsia="Calibri" w:cs="Times New Roman"/>
          <w:szCs w:val="24"/>
        </w:rPr>
        <w:t>–</w:t>
      </w:r>
      <w:r w:rsidRPr="00474FF7">
        <w:rPr>
          <w:rFonts w:eastAsia="Calibri" w:cs="Times New Roman"/>
          <w:szCs w:val="24"/>
        </w:rPr>
        <w:t>„Tulpė“–„Naujosios kapinės“–„Regiono keliai“– „</w:t>
      </w:r>
      <w:proofErr w:type="spellStart"/>
      <w:r w:rsidRPr="00474FF7">
        <w:rPr>
          <w:rFonts w:eastAsia="Calibri" w:cs="Times New Roman"/>
          <w:szCs w:val="24"/>
        </w:rPr>
        <w:t>Džiuginėnai</w:t>
      </w:r>
      <w:proofErr w:type="spellEnd"/>
      <w:r w:rsidRPr="00474FF7">
        <w:rPr>
          <w:rFonts w:eastAsia="Calibri" w:cs="Times New Roman"/>
          <w:szCs w:val="24"/>
        </w:rPr>
        <w:t>“</w:t>
      </w:r>
      <w:r w:rsidR="00402B4D" w:rsidRPr="00474FF7">
        <w:rPr>
          <w:rFonts w:eastAsia="Calibri" w:cs="Times New Roman"/>
          <w:szCs w:val="24"/>
        </w:rPr>
        <w:t>–</w:t>
      </w:r>
      <w:r w:rsidRPr="00474FF7">
        <w:rPr>
          <w:rFonts w:eastAsia="Calibri" w:cs="Times New Roman"/>
          <w:szCs w:val="24"/>
        </w:rPr>
        <w:t xml:space="preserve">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  darbo dienomis nuo birželio 1 d. iki rugpjūčio 31 d., maršruto ilgis 18,2 km, 4 reisai;</w:t>
      </w:r>
    </w:p>
    <w:p w14:paraId="0BF94D9B" w14:textId="4B345194" w:rsidR="00DB103D" w:rsidRDefault="00474FF7" w:rsidP="00DB103D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474FF7">
        <w:rPr>
          <w:rFonts w:eastAsia="Calibri" w:cs="Times New Roman"/>
          <w:szCs w:val="24"/>
        </w:rPr>
        <w:t xml:space="preserve">Nr. 1. 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“–„Saulėtekio g.“</w:t>
      </w:r>
      <w:r w:rsidR="00402B4D" w:rsidRPr="00474FF7">
        <w:rPr>
          <w:rFonts w:eastAsia="Calibri" w:cs="Times New Roman"/>
          <w:szCs w:val="24"/>
        </w:rPr>
        <w:t xml:space="preserve">– </w:t>
      </w:r>
      <w:r w:rsidRPr="00474FF7">
        <w:rPr>
          <w:rFonts w:eastAsia="Calibri" w:cs="Times New Roman"/>
          <w:szCs w:val="24"/>
        </w:rPr>
        <w:t>„Tulpė“–„Naujosios kapinės“–„</w:t>
      </w:r>
      <w:proofErr w:type="spellStart"/>
      <w:r w:rsidRPr="00474FF7">
        <w:rPr>
          <w:rFonts w:eastAsia="Calibri" w:cs="Times New Roman"/>
          <w:szCs w:val="24"/>
        </w:rPr>
        <w:t>Džiuginėnai</w:t>
      </w:r>
      <w:proofErr w:type="spellEnd"/>
      <w:r w:rsidRPr="00474FF7">
        <w:rPr>
          <w:rFonts w:eastAsia="Calibri" w:cs="Times New Roman"/>
          <w:szCs w:val="24"/>
        </w:rPr>
        <w:t xml:space="preserve">“–„Regiono keliai“–„Naujosios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 xml:space="preserve">“ darbo dienomis nuo rugsėjo 1 d. iki gegužės 31 d., maršruto ilgis 18,2 km, </w:t>
      </w:r>
      <w:r>
        <w:rPr>
          <w:rFonts w:eastAsia="Calibri" w:cs="Times New Roman"/>
          <w:szCs w:val="24"/>
        </w:rPr>
        <w:t>8</w:t>
      </w:r>
      <w:r w:rsidRPr="00474FF7">
        <w:rPr>
          <w:rFonts w:eastAsia="Calibri" w:cs="Times New Roman"/>
          <w:szCs w:val="24"/>
        </w:rPr>
        <w:t xml:space="preserve"> reisai</w:t>
      </w:r>
      <w:r w:rsidR="00A16147">
        <w:rPr>
          <w:rFonts w:eastAsia="Calibri" w:cs="Times New Roman"/>
          <w:szCs w:val="24"/>
        </w:rPr>
        <w:t>.“</w:t>
      </w:r>
    </w:p>
    <w:p w14:paraId="27879F14" w14:textId="3C8A49F2" w:rsidR="005D0E85" w:rsidRPr="00474FF7" w:rsidRDefault="00DB103D" w:rsidP="00DB103D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</w:t>
      </w:r>
      <w:r w:rsidR="00D30A63">
        <w:rPr>
          <w:rFonts w:eastAsia="Calibri" w:cs="Times New Roman"/>
          <w:szCs w:val="24"/>
        </w:rPr>
        <w:t xml:space="preserve">  </w:t>
      </w:r>
      <w:r w:rsidR="005D0E85">
        <w:rPr>
          <w:rFonts w:eastAsia="Calibri" w:cs="Times New Roman"/>
          <w:szCs w:val="24"/>
        </w:rPr>
        <w:t>1.2. pakeisti 1.1.54.3 papunktį ir jį išdėstyti taip:</w:t>
      </w:r>
    </w:p>
    <w:p w14:paraId="52066B32" w14:textId="47AD00B2" w:rsidR="00474FF7" w:rsidRPr="00474FF7" w:rsidRDefault="00A16147" w:rsidP="00812DB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„</w:t>
      </w:r>
      <w:r w:rsidR="00474FF7" w:rsidRPr="00474FF7">
        <w:rPr>
          <w:rFonts w:eastAsia="Calibri" w:cs="Times New Roman"/>
          <w:szCs w:val="24"/>
        </w:rPr>
        <w:t xml:space="preserve">1.1.54.3. Nr. 1. „Masčio </w:t>
      </w:r>
      <w:proofErr w:type="spellStart"/>
      <w:r>
        <w:rPr>
          <w:rFonts w:eastAsia="Calibri" w:cs="Times New Roman"/>
          <w:szCs w:val="24"/>
        </w:rPr>
        <w:t>mikr</w:t>
      </w:r>
      <w:proofErr w:type="spellEnd"/>
      <w:r>
        <w:rPr>
          <w:rFonts w:eastAsia="Calibri" w:cs="Times New Roman"/>
          <w:szCs w:val="24"/>
        </w:rPr>
        <w:t>.</w:t>
      </w:r>
      <w:r w:rsidR="00474FF7" w:rsidRPr="00474FF7">
        <w:rPr>
          <w:rFonts w:eastAsia="Calibri" w:cs="Times New Roman"/>
          <w:szCs w:val="24"/>
        </w:rPr>
        <w:t>“–„Saulėtekio g.“</w:t>
      </w:r>
      <w:r w:rsidR="0023610B" w:rsidRPr="00474FF7">
        <w:rPr>
          <w:rFonts w:eastAsia="Calibri" w:cs="Times New Roman"/>
          <w:szCs w:val="24"/>
        </w:rPr>
        <w:t>–</w:t>
      </w:r>
      <w:r w:rsidR="00474FF7" w:rsidRPr="00474FF7">
        <w:rPr>
          <w:rFonts w:eastAsia="Calibri" w:cs="Times New Roman"/>
          <w:szCs w:val="24"/>
        </w:rPr>
        <w:t xml:space="preserve">„Tulpė“–„Naujosios kapinės“–„Tulpė“–„Masčio </w:t>
      </w:r>
      <w:proofErr w:type="spellStart"/>
      <w:r>
        <w:rPr>
          <w:rFonts w:eastAsia="Calibri" w:cs="Times New Roman"/>
          <w:szCs w:val="24"/>
        </w:rPr>
        <w:t>mikr</w:t>
      </w:r>
      <w:proofErr w:type="spellEnd"/>
      <w:r>
        <w:rPr>
          <w:rFonts w:eastAsia="Calibri" w:cs="Times New Roman"/>
          <w:szCs w:val="24"/>
        </w:rPr>
        <w:t>.</w:t>
      </w:r>
      <w:r w:rsidR="00474FF7" w:rsidRPr="00474FF7">
        <w:rPr>
          <w:rFonts w:eastAsia="Calibri" w:cs="Times New Roman"/>
          <w:szCs w:val="24"/>
        </w:rPr>
        <w:t>“  darbo dienomis nuo rugsėjo 1 d. iki birželio 30 d., maršruto ilgis 13,8 km, 3</w:t>
      </w:r>
      <w:r w:rsidR="00474FF7">
        <w:rPr>
          <w:rFonts w:eastAsia="Calibri" w:cs="Times New Roman"/>
          <w:szCs w:val="24"/>
        </w:rPr>
        <w:t>6</w:t>
      </w:r>
      <w:r w:rsidR="00474FF7" w:rsidRPr="00474FF7">
        <w:rPr>
          <w:rFonts w:eastAsia="Calibri" w:cs="Times New Roman"/>
          <w:szCs w:val="24"/>
        </w:rPr>
        <w:t xml:space="preserve"> reisai; </w:t>
      </w:r>
    </w:p>
    <w:p w14:paraId="5B4B4D1B" w14:textId="27F87892" w:rsidR="00474FF7" w:rsidRPr="00474FF7" w:rsidRDefault="00474FF7" w:rsidP="00812DB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474FF7">
        <w:rPr>
          <w:rFonts w:eastAsia="Calibri" w:cs="Times New Roman"/>
          <w:szCs w:val="24"/>
        </w:rPr>
        <w:t>Nr. 1. „Masčio</w:t>
      </w:r>
      <w:r w:rsidR="00A16147">
        <w:rPr>
          <w:rFonts w:eastAsia="Calibri" w:cs="Times New Roman"/>
          <w:szCs w:val="24"/>
        </w:rPr>
        <w:t xml:space="preserve">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“–„Saulėtekio g.“</w:t>
      </w:r>
      <w:r w:rsidR="0023610B" w:rsidRPr="00474FF7">
        <w:rPr>
          <w:rFonts w:eastAsia="Calibri" w:cs="Times New Roman"/>
          <w:szCs w:val="24"/>
        </w:rPr>
        <w:t xml:space="preserve">– </w:t>
      </w:r>
      <w:r w:rsidRPr="00474FF7">
        <w:rPr>
          <w:rFonts w:eastAsia="Calibri" w:cs="Times New Roman"/>
          <w:szCs w:val="24"/>
        </w:rPr>
        <w:t xml:space="preserve">„Tulpė“–„Naujosios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  šeštadieniais ir sekmadieniais nuo rugsėjo 1 d. iki lapkričio 3 d., nuo balandžio 1</w:t>
      </w:r>
      <w:r w:rsidR="0023610B">
        <w:rPr>
          <w:rFonts w:eastAsia="Calibri" w:cs="Times New Roman"/>
          <w:szCs w:val="24"/>
        </w:rPr>
        <w:t xml:space="preserve"> </w:t>
      </w:r>
      <w:r w:rsidRPr="00474FF7">
        <w:rPr>
          <w:rFonts w:eastAsia="Calibri" w:cs="Times New Roman"/>
          <w:szCs w:val="24"/>
        </w:rPr>
        <w:t>d. iki gegužės 31 d., maršruto ilgis 13,8 km, 42 reisai</w:t>
      </w:r>
      <w:r w:rsidR="00A16147">
        <w:rPr>
          <w:rFonts w:eastAsia="Calibri" w:cs="Times New Roman"/>
          <w:szCs w:val="24"/>
        </w:rPr>
        <w:t>;</w:t>
      </w:r>
      <w:r w:rsidRPr="00474FF7">
        <w:rPr>
          <w:rFonts w:eastAsia="Calibri" w:cs="Times New Roman"/>
          <w:szCs w:val="24"/>
        </w:rPr>
        <w:t xml:space="preserve"> </w:t>
      </w:r>
    </w:p>
    <w:p w14:paraId="72D9ECE2" w14:textId="1F085F17" w:rsidR="00474FF7" w:rsidRPr="00474FF7" w:rsidRDefault="00474FF7" w:rsidP="00812DB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474FF7">
        <w:rPr>
          <w:rFonts w:eastAsia="Calibri" w:cs="Times New Roman"/>
          <w:szCs w:val="24"/>
        </w:rPr>
        <w:t xml:space="preserve">Nr. 1. 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 xml:space="preserve">“–„Saulėtekio g.“–„Tulpė“–„Naujosios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 xml:space="preserve">“ šeštadieniais ir sekmadieniais  nuo lapkričio 3 d. iki kovo 31 d., maršruto ilgis 13,8  km, 26 reisai; </w:t>
      </w:r>
    </w:p>
    <w:p w14:paraId="2D617F68" w14:textId="06E4A1DF" w:rsidR="00474FF7" w:rsidRPr="00474FF7" w:rsidRDefault="00474FF7" w:rsidP="00812DB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bookmarkStart w:id="3" w:name="_Hlk210031005"/>
      <w:r w:rsidRPr="00474FF7">
        <w:rPr>
          <w:rFonts w:eastAsia="Calibri" w:cs="Times New Roman"/>
          <w:szCs w:val="24"/>
        </w:rPr>
        <w:t xml:space="preserve">Nr.1 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“–„Saulėtekio g.“</w:t>
      </w:r>
      <w:r w:rsidR="0023610B" w:rsidRPr="00474FF7">
        <w:rPr>
          <w:rFonts w:eastAsia="Calibri" w:cs="Times New Roman"/>
          <w:szCs w:val="24"/>
        </w:rPr>
        <w:t>–</w:t>
      </w:r>
      <w:r w:rsidRPr="00474FF7">
        <w:rPr>
          <w:rFonts w:eastAsia="Calibri" w:cs="Times New Roman"/>
          <w:szCs w:val="24"/>
        </w:rPr>
        <w:t xml:space="preserve">„Tulpė“–„Naujosios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 darbo dienomis nuo birželio 1 d. iki rugpjūčio 31 d., maršruto ilgis 13,8 km, 26 reisai;</w:t>
      </w:r>
    </w:p>
    <w:p w14:paraId="66A95A4A" w14:textId="53047ACB" w:rsidR="00DB103D" w:rsidRDefault="00474FF7" w:rsidP="005D0E8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474FF7">
        <w:rPr>
          <w:rFonts w:eastAsia="Calibri" w:cs="Times New Roman"/>
          <w:szCs w:val="24"/>
        </w:rPr>
        <w:t xml:space="preserve">Nr. 1.  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 xml:space="preserve">“–„Tulpė“–„Naujosios kapinės“–„Tulpė“–„Masčio </w:t>
      </w:r>
      <w:proofErr w:type="spellStart"/>
      <w:r w:rsidR="00A16147">
        <w:rPr>
          <w:rFonts w:eastAsia="Calibri" w:cs="Times New Roman"/>
          <w:szCs w:val="24"/>
        </w:rPr>
        <w:t>mikr</w:t>
      </w:r>
      <w:proofErr w:type="spellEnd"/>
      <w:r w:rsidR="00A16147">
        <w:rPr>
          <w:rFonts w:eastAsia="Calibri" w:cs="Times New Roman"/>
          <w:szCs w:val="24"/>
        </w:rPr>
        <w:t>.</w:t>
      </w:r>
      <w:r w:rsidRPr="00474FF7">
        <w:rPr>
          <w:rFonts w:eastAsia="Calibri" w:cs="Times New Roman"/>
          <w:szCs w:val="24"/>
        </w:rPr>
        <w:t>“ šeštadieniais ir sekmadieniais nuo birželio 1 d. iki rugpjūčio 31 d., maršruto ilgis 12,3 km, 4 reisai</w:t>
      </w:r>
      <w:r w:rsidR="00A16147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“</w:t>
      </w:r>
    </w:p>
    <w:p w14:paraId="4384C8ED" w14:textId="5AE4D905" w:rsidR="005D0E85" w:rsidRDefault="00DB103D" w:rsidP="005D0E85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</w:t>
      </w:r>
      <w:r w:rsidR="00D30A63">
        <w:rPr>
          <w:rFonts w:eastAsia="Calibri" w:cs="Times New Roman"/>
          <w:szCs w:val="24"/>
        </w:rPr>
        <w:t xml:space="preserve">  </w:t>
      </w:r>
      <w:r w:rsidR="005D0E85">
        <w:rPr>
          <w:rFonts w:eastAsia="Calibri" w:cs="Times New Roman"/>
          <w:szCs w:val="24"/>
        </w:rPr>
        <w:t>1.3. pakeisti 1.1.60.2 papunktį ir jį išdėstyti taip:</w:t>
      </w:r>
    </w:p>
    <w:bookmarkEnd w:id="3"/>
    <w:p w14:paraId="1A66904D" w14:textId="77777777" w:rsidR="00DB103D" w:rsidRDefault="003D12CF" w:rsidP="00812DBE">
      <w:pPr>
        <w:spacing w:after="0" w:line="240" w:lineRule="auto"/>
        <w:jc w:val="both"/>
        <w:rPr>
          <w:szCs w:val="24"/>
          <w:lang w:eastAsia="lt-LT"/>
        </w:rPr>
      </w:pPr>
      <w:r>
        <w:rPr>
          <w:rFonts w:eastAsia="Calibri"/>
          <w:bCs/>
        </w:rPr>
        <w:t>„</w:t>
      </w:r>
      <w:r w:rsidRPr="004D6215">
        <w:rPr>
          <w:rFonts w:eastAsia="Calibri"/>
          <w:bCs/>
        </w:rPr>
        <w:t>1.1.</w:t>
      </w:r>
      <w:r>
        <w:rPr>
          <w:rFonts w:eastAsia="Calibri"/>
          <w:bCs/>
        </w:rPr>
        <w:t>60</w:t>
      </w:r>
      <w:r w:rsidRPr="004D6215">
        <w:rPr>
          <w:rFonts w:eastAsia="Calibri"/>
          <w:bCs/>
        </w:rPr>
        <w:t xml:space="preserve">.2. </w:t>
      </w:r>
      <w:r w:rsidRPr="00D756E2">
        <w:rPr>
          <w:szCs w:val="24"/>
          <w:lang w:eastAsia="lt-LT"/>
        </w:rPr>
        <w:t xml:space="preserve">Nr. 7. „Masčio </w:t>
      </w:r>
      <w:proofErr w:type="spellStart"/>
      <w:r>
        <w:rPr>
          <w:szCs w:val="24"/>
          <w:lang w:eastAsia="lt-LT"/>
        </w:rPr>
        <w:t>mikr</w:t>
      </w:r>
      <w:proofErr w:type="spellEnd"/>
      <w:r>
        <w:rPr>
          <w:szCs w:val="24"/>
          <w:lang w:eastAsia="lt-LT"/>
        </w:rPr>
        <w:t>.</w:t>
      </w:r>
      <w:r w:rsidRPr="00D756E2">
        <w:rPr>
          <w:szCs w:val="24"/>
          <w:lang w:eastAsia="lt-LT"/>
        </w:rPr>
        <w:t>–Kepyklos gatvė–Sedos gatvė–Džiugo gimnazija–s.</w:t>
      </w:r>
      <w:r w:rsidR="00705FA0">
        <w:rPr>
          <w:szCs w:val="24"/>
          <w:lang w:eastAsia="lt-LT"/>
        </w:rPr>
        <w:t xml:space="preserve"> </w:t>
      </w:r>
      <w:r w:rsidRPr="00D756E2">
        <w:rPr>
          <w:szCs w:val="24"/>
          <w:lang w:eastAsia="lt-LT"/>
        </w:rPr>
        <w:t>b. „Klevas“–</w:t>
      </w:r>
      <w:proofErr w:type="spellStart"/>
      <w:r w:rsidRPr="00D756E2">
        <w:rPr>
          <w:szCs w:val="24"/>
          <w:lang w:eastAsia="lt-LT"/>
        </w:rPr>
        <w:t>Lieplaukė</w:t>
      </w:r>
      <w:proofErr w:type="spellEnd"/>
      <w:r w:rsidRPr="00D756E2">
        <w:rPr>
          <w:szCs w:val="24"/>
          <w:lang w:eastAsia="lt-LT"/>
        </w:rPr>
        <w:t>–s.</w:t>
      </w:r>
      <w:r w:rsidR="00705FA0">
        <w:rPr>
          <w:szCs w:val="24"/>
          <w:lang w:eastAsia="lt-LT"/>
        </w:rPr>
        <w:t xml:space="preserve"> </w:t>
      </w:r>
      <w:r w:rsidRPr="00D756E2">
        <w:rPr>
          <w:szCs w:val="24"/>
          <w:lang w:eastAsia="lt-LT"/>
        </w:rPr>
        <w:t>b.</w:t>
      </w:r>
      <w:r>
        <w:rPr>
          <w:szCs w:val="24"/>
          <w:lang w:eastAsia="lt-LT"/>
        </w:rPr>
        <w:t xml:space="preserve"> </w:t>
      </w:r>
      <w:r w:rsidRPr="00D756E2">
        <w:rPr>
          <w:szCs w:val="24"/>
          <w:lang w:eastAsia="lt-LT"/>
        </w:rPr>
        <w:t>„Klevas“–Džiugo gimnazija–Masčio</w:t>
      </w:r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mikr</w:t>
      </w:r>
      <w:proofErr w:type="spellEnd"/>
      <w:r>
        <w:rPr>
          <w:szCs w:val="24"/>
          <w:lang w:eastAsia="lt-LT"/>
        </w:rPr>
        <w:t>.</w:t>
      </w:r>
      <w:r w:rsidRPr="00D756E2">
        <w:rPr>
          <w:szCs w:val="24"/>
          <w:lang w:eastAsia="lt-LT"/>
        </w:rPr>
        <w:t>“ darbo dienomis ir šeštadienį, maršruto ilgis 3</w:t>
      </w:r>
      <w:r>
        <w:rPr>
          <w:szCs w:val="24"/>
          <w:lang w:eastAsia="lt-LT"/>
        </w:rPr>
        <w:t>3</w:t>
      </w:r>
      <w:r w:rsidRPr="00D756E2">
        <w:rPr>
          <w:szCs w:val="24"/>
          <w:lang w:eastAsia="lt-LT"/>
        </w:rPr>
        <w:t>,</w:t>
      </w:r>
      <w:r>
        <w:rPr>
          <w:szCs w:val="24"/>
          <w:lang w:eastAsia="lt-LT"/>
        </w:rPr>
        <w:t>0</w:t>
      </w:r>
      <w:r w:rsidRPr="00D756E2">
        <w:rPr>
          <w:color w:val="FF0000"/>
          <w:szCs w:val="24"/>
          <w:lang w:eastAsia="lt-LT"/>
        </w:rPr>
        <w:t xml:space="preserve"> </w:t>
      </w:r>
      <w:r w:rsidRPr="00D756E2">
        <w:rPr>
          <w:szCs w:val="24"/>
          <w:lang w:eastAsia="lt-LT"/>
        </w:rPr>
        <w:t>km</w:t>
      </w:r>
      <w:r>
        <w:rPr>
          <w:szCs w:val="24"/>
          <w:lang w:eastAsia="lt-LT"/>
        </w:rPr>
        <w:t>,</w:t>
      </w:r>
      <w:r w:rsidRPr="00D756E2">
        <w:rPr>
          <w:szCs w:val="24"/>
          <w:lang w:eastAsia="lt-LT"/>
        </w:rPr>
        <w:t xml:space="preserve"> darbo dienomis 4 reisai, šeštadieniais 2 reisai</w:t>
      </w:r>
      <w:r w:rsidR="00812DBE">
        <w:rPr>
          <w:szCs w:val="24"/>
          <w:lang w:eastAsia="lt-LT"/>
        </w:rPr>
        <w:t>.“</w:t>
      </w:r>
    </w:p>
    <w:p w14:paraId="0E80F22C" w14:textId="301CAD43" w:rsidR="005D0E85" w:rsidRDefault="00DB103D" w:rsidP="00812DBE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D30A63">
        <w:rPr>
          <w:szCs w:val="24"/>
          <w:lang w:eastAsia="lt-LT"/>
        </w:rPr>
        <w:t xml:space="preserve">  </w:t>
      </w:r>
      <w:r w:rsidR="005D0E85">
        <w:rPr>
          <w:szCs w:val="24"/>
          <w:lang w:eastAsia="lt-LT"/>
        </w:rPr>
        <w:t>1.4. pakeisti 1.1.60.4 papunktį ir jį išdėstyti taip:</w:t>
      </w:r>
    </w:p>
    <w:p w14:paraId="59F0168A" w14:textId="351A23C3" w:rsidR="00705FA0" w:rsidRDefault="00705FA0" w:rsidP="00812DBE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„1.1.60.4. Nr. 7 „Masčio </w:t>
      </w:r>
      <w:proofErr w:type="spellStart"/>
      <w:r>
        <w:rPr>
          <w:szCs w:val="24"/>
          <w:lang w:eastAsia="lt-LT"/>
        </w:rPr>
        <w:t>mikr</w:t>
      </w:r>
      <w:proofErr w:type="spellEnd"/>
      <w:r>
        <w:rPr>
          <w:szCs w:val="24"/>
          <w:lang w:eastAsia="lt-LT"/>
        </w:rPr>
        <w:t>.–Kepyklos gatvė–Sedos gatvė–Džiugo gimnazija–s. b. „Klevas“–</w:t>
      </w:r>
      <w:proofErr w:type="spellStart"/>
      <w:r>
        <w:rPr>
          <w:szCs w:val="24"/>
          <w:lang w:eastAsia="lt-LT"/>
        </w:rPr>
        <w:t>Lieplaukė</w:t>
      </w:r>
      <w:proofErr w:type="spellEnd"/>
      <w:r>
        <w:rPr>
          <w:szCs w:val="24"/>
          <w:lang w:eastAsia="lt-LT"/>
        </w:rPr>
        <w:t xml:space="preserve">–s. b. „Klevas“–Ligoninė–Džiugo gimnazija–Geležinkelio stotis–Masčio </w:t>
      </w:r>
      <w:proofErr w:type="spellStart"/>
      <w:r>
        <w:rPr>
          <w:szCs w:val="24"/>
          <w:lang w:eastAsia="lt-LT"/>
        </w:rPr>
        <w:t>mikr</w:t>
      </w:r>
      <w:proofErr w:type="spellEnd"/>
      <w:r>
        <w:rPr>
          <w:szCs w:val="24"/>
          <w:lang w:eastAsia="lt-LT"/>
        </w:rPr>
        <w:t xml:space="preserve">.“ </w:t>
      </w:r>
      <w:r w:rsidR="007B4F22">
        <w:rPr>
          <w:szCs w:val="24"/>
          <w:lang w:eastAsia="lt-LT"/>
        </w:rPr>
        <w:t>d</w:t>
      </w:r>
      <w:r>
        <w:rPr>
          <w:szCs w:val="24"/>
          <w:lang w:eastAsia="lt-LT"/>
        </w:rPr>
        <w:t>arbo dienomis</w:t>
      </w:r>
      <w:r w:rsidR="007B4F22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0A3242">
        <w:rPr>
          <w:szCs w:val="24"/>
          <w:lang w:eastAsia="lt-LT"/>
        </w:rPr>
        <w:t xml:space="preserve">13.53 val. </w:t>
      </w:r>
      <w:r>
        <w:rPr>
          <w:szCs w:val="24"/>
          <w:lang w:eastAsia="lt-LT"/>
        </w:rPr>
        <w:t>maršruto ilgis 34,7 km,</w:t>
      </w:r>
      <w:r w:rsidR="000A3242">
        <w:rPr>
          <w:szCs w:val="24"/>
          <w:lang w:eastAsia="lt-LT"/>
        </w:rPr>
        <w:t xml:space="preserve"> 15.25 val. </w:t>
      </w:r>
      <w:r>
        <w:rPr>
          <w:szCs w:val="24"/>
          <w:lang w:eastAsia="lt-LT"/>
        </w:rPr>
        <w:t>maršruto ilgis 33</w:t>
      </w:r>
      <w:r w:rsidR="00BF4DFF">
        <w:rPr>
          <w:szCs w:val="24"/>
          <w:lang w:eastAsia="lt-LT"/>
        </w:rPr>
        <w:t>,4 km</w:t>
      </w:r>
      <w:r w:rsidR="000A3242">
        <w:rPr>
          <w:szCs w:val="24"/>
          <w:lang w:eastAsia="lt-LT"/>
        </w:rPr>
        <w:t>, 4 reisai</w:t>
      </w:r>
      <w:r w:rsidR="00BF4DFF">
        <w:rPr>
          <w:szCs w:val="24"/>
          <w:lang w:eastAsia="lt-LT"/>
        </w:rPr>
        <w:t xml:space="preserve"> ir šeštadien</w:t>
      </w:r>
      <w:r w:rsidR="007B4F22">
        <w:rPr>
          <w:szCs w:val="24"/>
          <w:lang w:eastAsia="lt-LT"/>
        </w:rPr>
        <w:t>į,</w:t>
      </w:r>
      <w:r w:rsidR="00BF4DFF">
        <w:rPr>
          <w:szCs w:val="24"/>
          <w:lang w:eastAsia="lt-LT"/>
        </w:rPr>
        <w:t xml:space="preserve">  maršruto ilgis 33,4 km</w:t>
      </w:r>
      <w:r w:rsidR="007B4F22">
        <w:rPr>
          <w:szCs w:val="24"/>
          <w:lang w:eastAsia="lt-LT"/>
        </w:rPr>
        <w:t>,</w:t>
      </w:r>
      <w:r w:rsidR="007B4F22" w:rsidRPr="007B4F22">
        <w:rPr>
          <w:szCs w:val="24"/>
          <w:lang w:eastAsia="lt-LT"/>
        </w:rPr>
        <w:t xml:space="preserve"> </w:t>
      </w:r>
      <w:r w:rsidR="007B4F22">
        <w:rPr>
          <w:szCs w:val="24"/>
          <w:lang w:eastAsia="lt-LT"/>
        </w:rPr>
        <w:t>2 reisai</w:t>
      </w:r>
      <w:r w:rsidR="00BF4DFF">
        <w:rPr>
          <w:szCs w:val="24"/>
          <w:lang w:eastAsia="lt-LT"/>
        </w:rPr>
        <w:t>“</w:t>
      </w:r>
    </w:p>
    <w:p w14:paraId="68BDD114" w14:textId="590432B9" w:rsidR="00F30153" w:rsidRDefault="00F30153" w:rsidP="00812DBE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D30A63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1.5. pakeisti 1.1.42 papunktį ir jį išdėstyti taip:</w:t>
      </w:r>
    </w:p>
    <w:p w14:paraId="15B848B4" w14:textId="77777777" w:rsidR="00145542" w:rsidRDefault="00145542" w:rsidP="00812DBE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„1.1.42. „</w:t>
      </w:r>
      <w:r w:rsidRPr="00145542">
        <w:rPr>
          <w:szCs w:val="24"/>
          <w:lang w:eastAsia="lt-LT"/>
        </w:rPr>
        <w:t xml:space="preserve">Rainiai–Mažieji </w:t>
      </w:r>
      <w:proofErr w:type="spellStart"/>
      <w:r w:rsidRPr="00145542">
        <w:rPr>
          <w:szCs w:val="24"/>
          <w:lang w:eastAsia="lt-LT"/>
        </w:rPr>
        <w:t>Kungiai</w:t>
      </w:r>
      <w:proofErr w:type="spellEnd"/>
      <w:r w:rsidRPr="00145542">
        <w:rPr>
          <w:szCs w:val="24"/>
          <w:lang w:eastAsia="lt-LT"/>
        </w:rPr>
        <w:t>–Klibės–Sankryža–</w:t>
      </w:r>
      <w:proofErr w:type="spellStart"/>
      <w:r w:rsidRPr="00145542">
        <w:rPr>
          <w:szCs w:val="24"/>
          <w:lang w:eastAsia="lt-LT"/>
        </w:rPr>
        <w:t>Syderiai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Viešvėnai</w:t>
      </w:r>
      <w:proofErr w:type="spellEnd"/>
      <w:r w:rsidRPr="00145542">
        <w:rPr>
          <w:szCs w:val="24"/>
          <w:lang w:eastAsia="lt-LT"/>
        </w:rPr>
        <w:t xml:space="preserve"> II–</w:t>
      </w:r>
      <w:proofErr w:type="spellStart"/>
      <w:r w:rsidRPr="00145542">
        <w:rPr>
          <w:szCs w:val="24"/>
          <w:lang w:eastAsia="lt-LT"/>
        </w:rPr>
        <w:t>Lentpjuvė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Vembūtai</w:t>
      </w:r>
      <w:proofErr w:type="spellEnd"/>
      <w:r w:rsidRPr="00145542">
        <w:rPr>
          <w:szCs w:val="24"/>
          <w:lang w:eastAsia="lt-LT"/>
        </w:rPr>
        <w:t xml:space="preserve"> II –</w:t>
      </w:r>
      <w:proofErr w:type="spellStart"/>
      <w:r w:rsidRPr="00145542">
        <w:rPr>
          <w:szCs w:val="24"/>
          <w:lang w:eastAsia="lt-LT"/>
        </w:rPr>
        <w:t>Vilkakiai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Vembūtai</w:t>
      </w:r>
      <w:proofErr w:type="spellEnd"/>
      <w:r w:rsidRPr="00145542">
        <w:rPr>
          <w:szCs w:val="24"/>
          <w:lang w:eastAsia="lt-LT"/>
        </w:rPr>
        <w:t xml:space="preserve">–Mažieji </w:t>
      </w:r>
      <w:proofErr w:type="spellStart"/>
      <w:r w:rsidRPr="00145542">
        <w:rPr>
          <w:szCs w:val="24"/>
          <w:lang w:eastAsia="lt-LT"/>
        </w:rPr>
        <w:t>Kungiai</w:t>
      </w:r>
      <w:proofErr w:type="spellEnd"/>
      <w:r w:rsidRPr="00145542">
        <w:rPr>
          <w:szCs w:val="24"/>
          <w:lang w:eastAsia="lt-LT"/>
        </w:rPr>
        <w:t>–Getautė–</w:t>
      </w:r>
      <w:proofErr w:type="spellStart"/>
      <w:r w:rsidRPr="00145542">
        <w:rPr>
          <w:szCs w:val="24"/>
          <w:lang w:eastAsia="lt-LT"/>
        </w:rPr>
        <w:t>Gervainio</w:t>
      </w:r>
      <w:proofErr w:type="spellEnd"/>
      <w:r w:rsidRPr="00145542">
        <w:rPr>
          <w:szCs w:val="24"/>
          <w:lang w:eastAsia="lt-LT"/>
        </w:rPr>
        <w:t xml:space="preserve"> g. 25–</w:t>
      </w:r>
      <w:proofErr w:type="spellStart"/>
      <w:r w:rsidRPr="00145542">
        <w:rPr>
          <w:szCs w:val="24"/>
          <w:lang w:eastAsia="lt-LT"/>
        </w:rPr>
        <w:t>Viešvėnai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Išdegos</w:t>
      </w:r>
      <w:proofErr w:type="spellEnd"/>
      <w:r w:rsidRPr="00145542">
        <w:rPr>
          <w:szCs w:val="24"/>
          <w:lang w:eastAsia="lt-LT"/>
        </w:rPr>
        <w:t xml:space="preserve"> Pušies g. 20–</w:t>
      </w:r>
      <w:proofErr w:type="spellStart"/>
      <w:r w:rsidRPr="00145542">
        <w:rPr>
          <w:szCs w:val="24"/>
          <w:lang w:eastAsia="lt-LT"/>
        </w:rPr>
        <w:t>Vandelenčių</w:t>
      </w:r>
      <w:proofErr w:type="spellEnd"/>
      <w:r w:rsidRPr="00145542">
        <w:rPr>
          <w:szCs w:val="24"/>
          <w:lang w:eastAsia="lt-LT"/>
        </w:rPr>
        <w:t xml:space="preserve"> parkas–Masčio g.–Rainiai“ darbo dienomis, išskyrus mokinių atostogų metu</w:t>
      </w:r>
      <w:r>
        <w:rPr>
          <w:szCs w:val="24"/>
          <w:lang w:eastAsia="lt-LT"/>
        </w:rPr>
        <w:t>,</w:t>
      </w:r>
      <w:r w:rsidRPr="00145542">
        <w:rPr>
          <w:szCs w:val="24"/>
          <w:lang w:eastAsia="lt-LT"/>
        </w:rPr>
        <w:t xml:space="preserve"> 6.15 val.</w:t>
      </w:r>
      <w:r>
        <w:rPr>
          <w:szCs w:val="24"/>
          <w:lang w:eastAsia="lt-LT"/>
        </w:rPr>
        <w:t xml:space="preserve">, maršruto ilgis 52,8 km ir </w:t>
      </w:r>
      <w:r w:rsidRPr="00145542">
        <w:rPr>
          <w:szCs w:val="24"/>
          <w:lang w:eastAsia="lt-LT"/>
        </w:rPr>
        <w:t>„Rainiai–Masčio g.–</w:t>
      </w:r>
      <w:proofErr w:type="spellStart"/>
      <w:r w:rsidRPr="00145542">
        <w:rPr>
          <w:szCs w:val="24"/>
          <w:lang w:eastAsia="lt-LT"/>
        </w:rPr>
        <w:t>Vandenlenčių</w:t>
      </w:r>
      <w:proofErr w:type="spellEnd"/>
      <w:r w:rsidRPr="00145542">
        <w:rPr>
          <w:szCs w:val="24"/>
          <w:lang w:eastAsia="lt-LT"/>
        </w:rPr>
        <w:t xml:space="preserve"> parkas–</w:t>
      </w:r>
      <w:proofErr w:type="spellStart"/>
      <w:r w:rsidRPr="00145542">
        <w:rPr>
          <w:szCs w:val="24"/>
          <w:lang w:eastAsia="lt-LT"/>
        </w:rPr>
        <w:t>Išdegos</w:t>
      </w:r>
      <w:proofErr w:type="spellEnd"/>
      <w:r w:rsidRPr="00145542">
        <w:rPr>
          <w:szCs w:val="24"/>
          <w:lang w:eastAsia="lt-LT"/>
        </w:rPr>
        <w:t xml:space="preserve"> Pušies g. 20–</w:t>
      </w:r>
      <w:proofErr w:type="spellStart"/>
      <w:r w:rsidRPr="00145542">
        <w:rPr>
          <w:szCs w:val="24"/>
          <w:lang w:eastAsia="lt-LT"/>
        </w:rPr>
        <w:t>Viešvėnai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Gervainio</w:t>
      </w:r>
      <w:proofErr w:type="spellEnd"/>
      <w:r w:rsidRPr="00145542">
        <w:rPr>
          <w:szCs w:val="24"/>
          <w:lang w:eastAsia="lt-LT"/>
        </w:rPr>
        <w:t xml:space="preserve"> g. 25 –Getautė–Mažieji </w:t>
      </w:r>
      <w:proofErr w:type="spellStart"/>
      <w:r w:rsidRPr="00145542">
        <w:rPr>
          <w:szCs w:val="24"/>
          <w:lang w:eastAsia="lt-LT"/>
        </w:rPr>
        <w:t>Kungiai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Vembūtai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Vilkakiai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Vembutai</w:t>
      </w:r>
      <w:proofErr w:type="spellEnd"/>
      <w:r w:rsidRPr="00145542">
        <w:rPr>
          <w:szCs w:val="24"/>
          <w:lang w:eastAsia="lt-LT"/>
        </w:rPr>
        <w:t xml:space="preserve"> II–</w:t>
      </w:r>
      <w:proofErr w:type="spellStart"/>
      <w:r w:rsidRPr="00145542">
        <w:rPr>
          <w:szCs w:val="24"/>
          <w:lang w:eastAsia="lt-LT"/>
        </w:rPr>
        <w:t>Lentpjuvė</w:t>
      </w:r>
      <w:proofErr w:type="spellEnd"/>
      <w:r w:rsidRPr="00145542">
        <w:rPr>
          <w:szCs w:val="24"/>
          <w:lang w:eastAsia="lt-LT"/>
        </w:rPr>
        <w:t>–</w:t>
      </w:r>
      <w:proofErr w:type="spellStart"/>
      <w:r w:rsidRPr="00145542">
        <w:rPr>
          <w:szCs w:val="24"/>
          <w:lang w:eastAsia="lt-LT"/>
        </w:rPr>
        <w:t>Viešvėnai</w:t>
      </w:r>
      <w:proofErr w:type="spellEnd"/>
      <w:r w:rsidRPr="00145542">
        <w:rPr>
          <w:szCs w:val="24"/>
          <w:lang w:eastAsia="lt-LT"/>
        </w:rPr>
        <w:t xml:space="preserve"> II–</w:t>
      </w:r>
      <w:proofErr w:type="spellStart"/>
      <w:r w:rsidRPr="00145542">
        <w:rPr>
          <w:szCs w:val="24"/>
          <w:lang w:eastAsia="lt-LT"/>
        </w:rPr>
        <w:t>Syderiai</w:t>
      </w:r>
      <w:proofErr w:type="spellEnd"/>
      <w:r w:rsidRPr="00145542">
        <w:rPr>
          <w:szCs w:val="24"/>
          <w:lang w:eastAsia="lt-LT"/>
        </w:rPr>
        <w:t xml:space="preserve">– Sankryža–Klibės–Mažieji </w:t>
      </w:r>
      <w:proofErr w:type="spellStart"/>
      <w:r w:rsidRPr="00145542">
        <w:rPr>
          <w:szCs w:val="24"/>
          <w:lang w:eastAsia="lt-LT"/>
        </w:rPr>
        <w:t>Kungiai</w:t>
      </w:r>
      <w:proofErr w:type="spellEnd"/>
      <w:r w:rsidRPr="00145542">
        <w:rPr>
          <w:szCs w:val="24"/>
          <w:lang w:eastAsia="lt-LT"/>
        </w:rPr>
        <w:t>–Rainiai” mokyklų darbo dienomis, išskyrus mokinių atostogų metu</w:t>
      </w:r>
      <w:r>
        <w:rPr>
          <w:szCs w:val="24"/>
          <w:lang w:eastAsia="lt-LT"/>
        </w:rPr>
        <w:t xml:space="preserve">, </w:t>
      </w:r>
      <w:r w:rsidRPr="00145542">
        <w:rPr>
          <w:szCs w:val="24"/>
          <w:lang w:eastAsia="lt-LT"/>
        </w:rPr>
        <w:t>14.35 val.</w:t>
      </w:r>
      <w:r>
        <w:rPr>
          <w:szCs w:val="24"/>
          <w:lang w:eastAsia="lt-LT"/>
        </w:rPr>
        <w:t>, maršruto ilgis 52,7 km.“</w:t>
      </w:r>
    </w:p>
    <w:p w14:paraId="14E00D2E" w14:textId="4D797D00" w:rsidR="004B2C48" w:rsidRDefault="00145542" w:rsidP="00D30A63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 </w:t>
      </w:r>
      <w:r w:rsidR="00D30A63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 xml:space="preserve">1.6. pakeisti </w:t>
      </w:r>
      <w:r w:rsidR="004B2C48">
        <w:rPr>
          <w:szCs w:val="24"/>
          <w:lang w:eastAsia="lt-LT"/>
        </w:rPr>
        <w:t>1.1.2 papunktį ir jį išdėstyti taip:</w:t>
      </w:r>
    </w:p>
    <w:p w14:paraId="08155059" w14:textId="6B1FF932" w:rsidR="00145542" w:rsidRDefault="004B2C48" w:rsidP="00D30A63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„1.1.2 </w:t>
      </w:r>
      <w:r w:rsidR="00145542" w:rsidRPr="00145542">
        <w:rPr>
          <w:szCs w:val="24"/>
          <w:lang w:eastAsia="lt-LT"/>
        </w:rPr>
        <w:t xml:space="preserve"> </w:t>
      </w:r>
      <w:r w:rsidRPr="004B2C48">
        <w:rPr>
          <w:szCs w:val="24"/>
          <w:lang w:eastAsia="lt-LT"/>
        </w:rPr>
        <w:t>„Telšiai–Eigirdžiai–Ubiškė–Dūseikiai–Telšiai“ mokyklų darbo dienomis, išskyrus mokinių atostogų metu</w:t>
      </w:r>
      <w:r>
        <w:rPr>
          <w:szCs w:val="24"/>
          <w:lang w:eastAsia="lt-LT"/>
        </w:rPr>
        <w:t xml:space="preserve">, </w:t>
      </w:r>
      <w:r w:rsidRPr="004B2C48">
        <w:rPr>
          <w:szCs w:val="24"/>
          <w:lang w:eastAsia="lt-LT"/>
        </w:rPr>
        <w:t>13.25 val.</w:t>
      </w:r>
      <w:r>
        <w:rPr>
          <w:szCs w:val="24"/>
          <w:lang w:eastAsia="lt-LT"/>
        </w:rPr>
        <w:t>, maršruto ilgis 54 km</w:t>
      </w:r>
      <w:r w:rsidRPr="004B2C48">
        <w:rPr>
          <w:szCs w:val="24"/>
          <w:lang w:eastAsia="lt-LT"/>
        </w:rPr>
        <w:t xml:space="preserve"> ir 15.30 </w:t>
      </w:r>
      <w:r>
        <w:rPr>
          <w:szCs w:val="24"/>
          <w:lang w:eastAsia="lt-LT"/>
        </w:rPr>
        <w:t>val., maršruto ilgis 53,2 km.“</w:t>
      </w:r>
    </w:p>
    <w:p w14:paraId="74F78B1B" w14:textId="202A1EBC" w:rsidR="004B2C48" w:rsidRDefault="004B2C48" w:rsidP="00D30A63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D30A63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1.7. pakeisti 1.</w:t>
      </w:r>
      <w:r w:rsidR="001E275C">
        <w:rPr>
          <w:szCs w:val="24"/>
          <w:lang w:eastAsia="lt-LT"/>
        </w:rPr>
        <w:t>1.34 papunktį ir jį išdėstyti taip:</w:t>
      </w:r>
    </w:p>
    <w:p w14:paraId="004E6FC6" w14:textId="681A4407" w:rsidR="001E275C" w:rsidRDefault="001E275C" w:rsidP="00D30A63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„Telšiai–Birikai–Eigirdžiai–Nerimdaičiai–Trimesėdis–Juozapavas–Mitkaičiai–Telšiai darbo dienomis,  15.00 val., maršruto ilgis 59,1 km.“</w:t>
      </w:r>
    </w:p>
    <w:p w14:paraId="3CF4ACAA" w14:textId="3E5EEB66" w:rsidR="00A16147" w:rsidRPr="00D30A63" w:rsidRDefault="00E64379" w:rsidP="00D30A63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  <w:r w:rsidR="00D30A63">
        <w:rPr>
          <w:szCs w:val="24"/>
          <w:lang w:eastAsia="lt-LT"/>
        </w:rPr>
        <w:t xml:space="preserve">  1</w:t>
      </w:r>
      <w:r>
        <w:rPr>
          <w:szCs w:val="24"/>
          <w:lang w:eastAsia="lt-LT"/>
        </w:rPr>
        <w:t>.</w:t>
      </w:r>
      <w:r w:rsidR="00D30A63">
        <w:rPr>
          <w:szCs w:val="24"/>
          <w:lang w:eastAsia="lt-LT"/>
        </w:rPr>
        <w:t>8. panaikinti 1.1.9 papunktį.</w:t>
      </w:r>
      <w:r>
        <w:rPr>
          <w:szCs w:val="24"/>
          <w:lang w:eastAsia="lt-LT"/>
        </w:rPr>
        <w:t xml:space="preserve"> </w:t>
      </w:r>
    </w:p>
    <w:bookmarkEnd w:id="2"/>
    <w:p w14:paraId="71980DB9" w14:textId="5A798544" w:rsidR="00AA4B1E" w:rsidRPr="00E3431D" w:rsidRDefault="00D30A63" w:rsidP="00D30A63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9954AE" w:rsidRPr="00E3431D">
        <w:rPr>
          <w:szCs w:val="24"/>
        </w:rPr>
        <w:t>2. Žodžiai ir sąvokos šiame papildomame susitarime turės tas pačias reikšmes kaip ir Sutartyje.</w:t>
      </w:r>
    </w:p>
    <w:p w14:paraId="71535389" w14:textId="02FA5A0C" w:rsidR="00AA4B1E" w:rsidRPr="00E3431D" w:rsidRDefault="00D30A63" w:rsidP="00D30A63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9954AE" w:rsidRPr="00E3431D">
        <w:rPr>
          <w:szCs w:val="24"/>
        </w:rPr>
        <w:t>3. Papildomas susitarimas yra neatskiriama Sutarties dalis.</w:t>
      </w:r>
    </w:p>
    <w:p w14:paraId="24B8AD2D" w14:textId="595D37C1" w:rsidR="009954AE" w:rsidRPr="00E3431D" w:rsidRDefault="00D30A63" w:rsidP="00D30A63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9954AE"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6830C633" w:rsidR="009954AE" w:rsidRPr="00E3431D" w:rsidRDefault="00D30A63" w:rsidP="00D30A63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9954AE"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1D3DF3F5" w14:textId="77777777" w:rsidR="00883117" w:rsidRDefault="00883117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55239BF4" w14:textId="77777777" w:rsidR="00756217" w:rsidRDefault="00756217" w:rsidP="00756217">
            <w:pPr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18ED7876" w14:textId="77777777" w:rsidR="00756217" w:rsidRDefault="00756217" w:rsidP="00756217">
            <w:pPr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7556C534" w14:textId="77777777" w:rsidR="00756217" w:rsidRDefault="00756217" w:rsidP="00756217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Administracijos direktorė</w:t>
            </w:r>
          </w:p>
          <w:p w14:paraId="06100725" w14:textId="19AC6C3E" w:rsidR="00756217" w:rsidRPr="00756217" w:rsidRDefault="00756217" w:rsidP="00756217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821" w:type="dxa"/>
          </w:tcPr>
          <w:p w14:paraId="04546737" w14:textId="77777777" w:rsidR="009954AE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Tel. Nr. +37065510140</w:t>
            </w:r>
          </w:p>
          <w:p w14:paraId="2900EDB9" w14:textId="25AF88AF" w:rsidR="00787487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El. p. </w:t>
            </w:r>
            <w:hyperlink r:id="rId6" w:history="1">
              <w:r w:rsidRPr="00AC31F1">
                <w:rPr>
                  <w:rStyle w:val="Hipersaitas"/>
                  <w:rFonts w:eastAsia="Times New Roman" w:cs="Times New Roman"/>
                  <w:szCs w:val="24"/>
                  <w:lang w:eastAsia="lt-LT"/>
                </w:rPr>
                <w:t>info@telsiuap.lt</w:t>
              </w:r>
            </w:hyperlink>
          </w:p>
          <w:p w14:paraId="4F4FF836" w14:textId="77777777" w:rsidR="00787487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78A57FC9" w14:textId="7313843F" w:rsidR="00787487" w:rsidRDefault="00447D65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Technikos d</w:t>
            </w:r>
            <w:r w:rsidR="00787487">
              <w:rPr>
                <w:rFonts w:eastAsia="Times New Roman" w:cs="Times New Roman"/>
                <w:szCs w:val="24"/>
                <w:lang w:eastAsia="lt-LT"/>
              </w:rPr>
              <w:t>irektorius</w:t>
            </w:r>
            <w:r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06762D16" w14:textId="19BE8B18" w:rsidR="00447D65" w:rsidRDefault="00D309B3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l</w:t>
            </w:r>
            <w:r w:rsidR="00447D65">
              <w:rPr>
                <w:rFonts w:eastAsia="Times New Roman" w:cs="Times New Roman"/>
                <w:szCs w:val="24"/>
                <w:lang w:eastAsia="lt-LT"/>
              </w:rPr>
              <w:t>aikinai atliekantis direktoriaus funkcijas</w:t>
            </w:r>
          </w:p>
          <w:p w14:paraId="76F8CBB6" w14:textId="06C13E33" w:rsidR="00787487" w:rsidRPr="00E3431D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587F97A3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4821" w:type="dxa"/>
          </w:tcPr>
          <w:p w14:paraId="07B6B912" w14:textId="5C2A294F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364E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A9"/>
    <w:rsid w:val="00005EA3"/>
    <w:rsid w:val="000108B1"/>
    <w:rsid w:val="00015FAD"/>
    <w:rsid w:val="0003062A"/>
    <w:rsid w:val="00037831"/>
    <w:rsid w:val="00042B88"/>
    <w:rsid w:val="00044584"/>
    <w:rsid w:val="00044733"/>
    <w:rsid w:val="000453EC"/>
    <w:rsid w:val="00051EE5"/>
    <w:rsid w:val="00057D12"/>
    <w:rsid w:val="00066DA8"/>
    <w:rsid w:val="000679DC"/>
    <w:rsid w:val="00073675"/>
    <w:rsid w:val="0009524C"/>
    <w:rsid w:val="00096637"/>
    <w:rsid w:val="00096862"/>
    <w:rsid w:val="000A0DBB"/>
    <w:rsid w:val="000A3242"/>
    <w:rsid w:val="000C1506"/>
    <w:rsid w:val="000C4608"/>
    <w:rsid w:val="000D12C6"/>
    <w:rsid w:val="000D2E87"/>
    <w:rsid w:val="000D5C94"/>
    <w:rsid w:val="000D7C5A"/>
    <w:rsid w:val="000E7629"/>
    <w:rsid w:val="000F40B1"/>
    <w:rsid w:val="000F5764"/>
    <w:rsid w:val="00101B10"/>
    <w:rsid w:val="00101F64"/>
    <w:rsid w:val="001039A6"/>
    <w:rsid w:val="00106A6A"/>
    <w:rsid w:val="00111B1C"/>
    <w:rsid w:val="00113DFF"/>
    <w:rsid w:val="00121EF2"/>
    <w:rsid w:val="00127362"/>
    <w:rsid w:val="0013405D"/>
    <w:rsid w:val="00135234"/>
    <w:rsid w:val="00137177"/>
    <w:rsid w:val="00145542"/>
    <w:rsid w:val="00147036"/>
    <w:rsid w:val="00150AFB"/>
    <w:rsid w:val="00153D9A"/>
    <w:rsid w:val="00156AC7"/>
    <w:rsid w:val="001665C5"/>
    <w:rsid w:val="001803B0"/>
    <w:rsid w:val="00181B2A"/>
    <w:rsid w:val="0018484F"/>
    <w:rsid w:val="001874BA"/>
    <w:rsid w:val="001A2627"/>
    <w:rsid w:val="001A5E23"/>
    <w:rsid w:val="001A7F87"/>
    <w:rsid w:val="001B5435"/>
    <w:rsid w:val="001C2ED5"/>
    <w:rsid w:val="001C5297"/>
    <w:rsid w:val="001D102B"/>
    <w:rsid w:val="001D3367"/>
    <w:rsid w:val="001D5D44"/>
    <w:rsid w:val="001E0450"/>
    <w:rsid w:val="001E2189"/>
    <w:rsid w:val="001E275C"/>
    <w:rsid w:val="001E68A8"/>
    <w:rsid w:val="001F09B2"/>
    <w:rsid w:val="00207D17"/>
    <w:rsid w:val="00213723"/>
    <w:rsid w:val="00214874"/>
    <w:rsid w:val="0022153D"/>
    <w:rsid w:val="0023610B"/>
    <w:rsid w:val="00241613"/>
    <w:rsid w:val="00241D96"/>
    <w:rsid w:val="0025710F"/>
    <w:rsid w:val="002635A7"/>
    <w:rsid w:val="00270728"/>
    <w:rsid w:val="00276838"/>
    <w:rsid w:val="002818A4"/>
    <w:rsid w:val="002B580A"/>
    <w:rsid w:val="002C0CF4"/>
    <w:rsid w:val="002C7779"/>
    <w:rsid w:val="002E1065"/>
    <w:rsid w:val="002E1D3D"/>
    <w:rsid w:val="002E3B23"/>
    <w:rsid w:val="002E6527"/>
    <w:rsid w:val="0030171D"/>
    <w:rsid w:val="00305135"/>
    <w:rsid w:val="003144F5"/>
    <w:rsid w:val="003151A4"/>
    <w:rsid w:val="00336BEB"/>
    <w:rsid w:val="0034257E"/>
    <w:rsid w:val="00343534"/>
    <w:rsid w:val="0034545A"/>
    <w:rsid w:val="00361349"/>
    <w:rsid w:val="00364E55"/>
    <w:rsid w:val="00370AD3"/>
    <w:rsid w:val="0038275A"/>
    <w:rsid w:val="003914AA"/>
    <w:rsid w:val="00396252"/>
    <w:rsid w:val="003A3EA8"/>
    <w:rsid w:val="003A601E"/>
    <w:rsid w:val="003A755F"/>
    <w:rsid w:val="003B66BC"/>
    <w:rsid w:val="003C01FA"/>
    <w:rsid w:val="003D12CF"/>
    <w:rsid w:val="003D4674"/>
    <w:rsid w:val="003F07FA"/>
    <w:rsid w:val="003F1345"/>
    <w:rsid w:val="003F2E09"/>
    <w:rsid w:val="003F6CB0"/>
    <w:rsid w:val="004010D2"/>
    <w:rsid w:val="004025CB"/>
    <w:rsid w:val="00402B4D"/>
    <w:rsid w:val="00403741"/>
    <w:rsid w:val="00406AC3"/>
    <w:rsid w:val="00413BBF"/>
    <w:rsid w:val="004169CA"/>
    <w:rsid w:val="00423E61"/>
    <w:rsid w:val="004245D9"/>
    <w:rsid w:val="00426D8F"/>
    <w:rsid w:val="00427566"/>
    <w:rsid w:val="0042766E"/>
    <w:rsid w:val="00447D65"/>
    <w:rsid w:val="00451F4C"/>
    <w:rsid w:val="00455EC3"/>
    <w:rsid w:val="00474FF7"/>
    <w:rsid w:val="00490E44"/>
    <w:rsid w:val="004A3372"/>
    <w:rsid w:val="004A40E8"/>
    <w:rsid w:val="004B2C48"/>
    <w:rsid w:val="004B5BAD"/>
    <w:rsid w:val="004B6C01"/>
    <w:rsid w:val="004D31F1"/>
    <w:rsid w:val="004D5E4B"/>
    <w:rsid w:val="005053F4"/>
    <w:rsid w:val="00507BFA"/>
    <w:rsid w:val="0051107B"/>
    <w:rsid w:val="0051190D"/>
    <w:rsid w:val="00515ED6"/>
    <w:rsid w:val="00525A48"/>
    <w:rsid w:val="00531F68"/>
    <w:rsid w:val="00533EFF"/>
    <w:rsid w:val="00534DEA"/>
    <w:rsid w:val="005520EA"/>
    <w:rsid w:val="00554DB5"/>
    <w:rsid w:val="005824E5"/>
    <w:rsid w:val="00586267"/>
    <w:rsid w:val="005865ED"/>
    <w:rsid w:val="0059610F"/>
    <w:rsid w:val="005A25E6"/>
    <w:rsid w:val="005C3D4F"/>
    <w:rsid w:val="005C4F57"/>
    <w:rsid w:val="005D0E85"/>
    <w:rsid w:val="005D2460"/>
    <w:rsid w:val="005E0C88"/>
    <w:rsid w:val="005E7386"/>
    <w:rsid w:val="005F1CF6"/>
    <w:rsid w:val="005F4A97"/>
    <w:rsid w:val="0061084A"/>
    <w:rsid w:val="00621388"/>
    <w:rsid w:val="0063381E"/>
    <w:rsid w:val="006539FF"/>
    <w:rsid w:val="0066599C"/>
    <w:rsid w:val="00673199"/>
    <w:rsid w:val="00677793"/>
    <w:rsid w:val="00690D87"/>
    <w:rsid w:val="006C1601"/>
    <w:rsid w:val="006D0755"/>
    <w:rsid w:val="006D1633"/>
    <w:rsid w:val="006E4792"/>
    <w:rsid w:val="006F387F"/>
    <w:rsid w:val="006F4466"/>
    <w:rsid w:val="006F4813"/>
    <w:rsid w:val="00700CD6"/>
    <w:rsid w:val="00705FA0"/>
    <w:rsid w:val="0071505A"/>
    <w:rsid w:val="00724070"/>
    <w:rsid w:val="00736CDD"/>
    <w:rsid w:val="00737516"/>
    <w:rsid w:val="00737EE0"/>
    <w:rsid w:val="0074289D"/>
    <w:rsid w:val="00743AA1"/>
    <w:rsid w:val="007548D6"/>
    <w:rsid w:val="00754BDF"/>
    <w:rsid w:val="00756217"/>
    <w:rsid w:val="00756CEF"/>
    <w:rsid w:val="00757F3A"/>
    <w:rsid w:val="00765A3A"/>
    <w:rsid w:val="00770148"/>
    <w:rsid w:val="00777176"/>
    <w:rsid w:val="00780821"/>
    <w:rsid w:val="007860D0"/>
    <w:rsid w:val="00787487"/>
    <w:rsid w:val="007A5A5C"/>
    <w:rsid w:val="007B0EED"/>
    <w:rsid w:val="007B4F22"/>
    <w:rsid w:val="007C3FDD"/>
    <w:rsid w:val="007C4388"/>
    <w:rsid w:val="007F3D5B"/>
    <w:rsid w:val="00800C2D"/>
    <w:rsid w:val="00810B2B"/>
    <w:rsid w:val="00812DBE"/>
    <w:rsid w:val="00826072"/>
    <w:rsid w:val="00854D89"/>
    <w:rsid w:val="00857E99"/>
    <w:rsid w:val="008611B8"/>
    <w:rsid w:val="00873455"/>
    <w:rsid w:val="00883117"/>
    <w:rsid w:val="00897BAF"/>
    <w:rsid w:val="008B7A78"/>
    <w:rsid w:val="008C3768"/>
    <w:rsid w:val="008C6A63"/>
    <w:rsid w:val="008D1032"/>
    <w:rsid w:val="008D60AF"/>
    <w:rsid w:val="008E0F2B"/>
    <w:rsid w:val="008E4326"/>
    <w:rsid w:val="008F1C1B"/>
    <w:rsid w:val="008F2F8E"/>
    <w:rsid w:val="008F6C45"/>
    <w:rsid w:val="008F7DB8"/>
    <w:rsid w:val="009038A7"/>
    <w:rsid w:val="009047C3"/>
    <w:rsid w:val="009050F2"/>
    <w:rsid w:val="00923B99"/>
    <w:rsid w:val="00940F6A"/>
    <w:rsid w:val="00951C0E"/>
    <w:rsid w:val="0095575F"/>
    <w:rsid w:val="009708CE"/>
    <w:rsid w:val="00985B05"/>
    <w:rsid w:val="00991044"/>
    <w:rsid w:val="00993818"/>
    <w:rsid w:val="009954AE"/>
    <w:rsid w:val="009A65B6"/>
    <w:rsid w:val="009B10E2"/>
    <w:rsid w:val="009B25F3"/>
    <w:rsid w:val="009B40AC"/>
    <w:rsid w:val="009C10F3"/>
    <w:rsid w:val="009C2197"/>
    <w:rsid w:val="009C22B7"/>
    <w:rsid w:val="009C5BDC"/>
    <w:rsid w:val="009D0172"/>
    <w:rsid w:val="009D59F4"/>
    <w:rsid w:val="00A11F3C"/>
    <w:rsid w:val="00A15F2B"/>
    <w:rsid w:val="00A16147"/>
    <w:rsid w:val="00A243C3"/>
    <w:rsid w:val="00A266E6"/>
    <w:rsid w:val="00A277C8"/>
    <w:rsid w:val="00A30582"/>
    <w:rsid w:val="00A3658F"/>
    <w:rsid w:val="00A4435B"/>
    <w:rsid w:val="00A5142A"/>
    <w:rsid w:val="00A90435"/>
    <w:rsid w:val="00A9116D"/>
    <w:rsid w:val="00AA0041"/>
    <w:rsid w:val="00AA4B1E"/>
    <w:rsid w:val="00AA55B1"/>
    <w:rsid w:val="00AA5CD0"/>
    <w:rsid w:val="00AB178C"/>
    <w:rsid w:val="00AB353B"/>
    <w:rsid w:val="00AC24B9"/>
    <w:rsid w:val="00AC39AC"/>
    <w:rsid w:val="00AE2657"/>
    <w:rsid w:val="00AE322A"/>
    <w:rsid w:val="00AF195D"/>
    <w:rsid w:val="00AF2492"/>
    <w:rsid w:val="00AF3D95"/>
    <w:rsid w:val="00B0474C"/>
    <w:rsid w:val="00B13F95"/>
    <w:rsid w:val="00B36E89"/>
    <w:rsid w:val="00B4696D"/>
    <w:rsid w:val="00B4720E"/>
    <w:rsid w:val="00B51B8C"/>
    <w:rsid w:val="00B5204B"/>
    <w:rsid w:val="00B61208"/>
    <w:rsid w:val="00B72484"/>
    <w:rsid w:val="00B8595B"/>
    <w:rsid w:val="00B90FAE"/>
    <w:rsid w:val="00B97ADB"/>
    <w:rsid w:val="00BA0B62"/>
    <w:rsid w:val="00BC253D"/>
    <w:rsid w:val="00BC3F78"/>
    <w:rsid w:val="00BE03F6"/>
    <w:rsid w:val="00BE61C7"/>
    <w:rsid w:val="00BF3884"/>
    <w:rsid w:val="00BF4DFF"/>
    <w:rsid w:val="00C043DA"/>
    <w:rsid w:val="00C05772"/>
    <w:rsid w:val="00C10D5C"/>
    <w:rsid w:val="00C17A5A"/>
    <w:rsid w:val="00C2163C"/>
    <w:rsid w:val="00C25AE3"/>
    <w:rsid w:val="00C27211"/>
    <w:rsid w:val="00C2782D"/>
    <w:rsid w:val="00C3746D"/>
    <w:rsid w:val="00C4744E"/>
    <w:rsid w:val="00C521EB"/>
    <w:rsid w:val="00C6411C"/>
    <w:rsid w:val="00C73213"/>
    <w:rsid w:val="00C73593"/>
    <w:rsid w:val="00C93776"/>
    <w:rsid w:val="00CA0825"/>
    <w:rsid w:val="00CA68FE"/>
    <w:rsid w:val="00CB5C9A"/>
    <w:rsid w:val="00CB746B"/>
    <w:rsid w:val="00CD5D2D"/>
    <w:rsid w:val="00CE6270"/>
    <w:rsid w:val="00CE6D16"/>
    <w:rsid w:val="00CF663C"/>
    <w:rsid w:val="00CF74ED"/>
    <w:rsid w:val="00D0034D"/>
    <w:rsid w:val="00D044AA"/>
    <w:rsid w:val="00D04CAF"/>
    <w:rsid w:val="00D11DF0"/>
    <w:rsid w:val="00D13065"/>
    <w:rsid w:val="00D1500A"/>
    <w:rsid w:val="00D22E7E"/>
    <w:rsid w:val="00D26F17"/>
    <w:rsid w:val="00D309B3"/>
    <w:rsid w:val="00D30A63"/>
    <w:rsid w:val="00D33F46"/>
    <w:rsid w:val="00D40F23"/>
    <w:rsid w:val="00D57501"/>
    <w:rsid w:val="00D62573"/>
    <w:rsid w:val="00D7192D"/>
    <w:rsid w:val="00D735BD"/>
    <w:rsid w:val="00D756E2"/>
    <w:rsid w:val="00D7579A"/>
    <w:rsid w:val="00D765A4"/>
    <w:rsid w:val="00D814E4"/>
    <w:rsid w:val="00D908CB"/>
    <w:rsid w:val="00D92A9E"/>
    <w:rsid w:val="00D95779"/>
    <w:rsid w:val="00D9581A"/>
    <w:rsid w:val="00DA124D"/>
    <w:rsid w:val="00DA2A85"/>
    <w:rsid w:val="00DA3F14"/>
    <w:rsid w:val="00DA7B7C"/>
    <w:rsid w:val="00DA7D77"/>
    <w:rsid w:val="00DB103D"/>
    <w:rsid w:val="00DB574C"/>
    <w:rsid w:val="00DB655A"/>
    <w:rsid w:val="00DC0FBA"/>
    <w:rsid w:val="00DC5D86"/>
    <w:rsid w:val="00DD364E"/>
    <w:rsid w:val="00DD6EB9"/>
    <w:rsid w:val="00DE2AE9"/>
    <w:rsid w:val="00DE3C55"/>
    <w:rsid w:val="00DF0C5B"/>
    <w:rsid w:val="00DF56B7"/>
    <w:rsid w:val="00E10CF6"/>
    <w:rsid w:val="00E11686"/>
    <w:rsid w:val="00E153A9"/>
    <w:rsid w:val="00E23FD2"/>
    <w:rsid w:val="00E279B1"/>
    <w:rsid w:val="00E33A96"/>
    <w:rsid w:val="00E33D59"/>
    <w:rsid w:val="00E34102"/>
    <w:rsid w:val="00E3431D"/>
    <w:rsid w:val="00E547D4"/>
    <w:rsid w:val="00E56147"/>
    <w:rsid w:val="00E62295"/>
    <w:rsid w:val="00E63005"/>
    <w:rsid w:val="00E64379"/>
    <w:rsid w:val="00E64E7B"/>
    <w:rsid w:val="00E64F93"/>
    <w:rsid w:val="00E70031"/>
    <w:rsid w:val="00E834E1"/>
    <w:rsid w:val="00E96357"/>
    <w:rsid w:val="00E97DB1"/>
    <w:rsid w:val="00EA55BA"/>
    <w:rsid w:val="00EC0A73"/>
    <w:rsid w:val="00EC58B2"/>
    <w:rsid w:val="00EC6607"/>
    <w:rsid w:val="00EC6A07"/>
    <w:rsid w:val="00ED3DE7"/>
    <w:rsid w:val="00EE168F"/>
    <w:rsid w:val="00EE2FEF"/>
    <w:rsid w:val="00EF1344"/>
    <w:rsid w:val="00EF2C80"/>
    <w:rsid w:val="00EF3649"/>
    <w:rsid w:val="00EF5653"/>
    <w:rsid w:val="00F05620"/>
    <w:rsid w:val="00F10D6E"/>
    <w:rsid w:val="00F17AD4"/>
    <w:rsid w:val="00F21DEB"/>
    <w:rsid w:val="00F252B1"/>
    <w:rsid w:val="00F30153"/>
    <w:rsid w:val="00F30815"/>
    <w:rsid w:val="00F326A6"/>
    <w:rsid w:val="00F41F1B"/>
    <w:rsid w:val="00F431EC"/>
    <w:rsid w:val="00F438D2"/>
    <w:rsid w:val="00F43B96"/>
    <w:rsid w:val="00F46C5E"/>
    <w:rsid w:val="00F514D3"/>
    <w:rsid w:val="00F568A4"/>
    <w:rsid w:val="00F717B6"/>
    <w:rsid w:val="00F71BA9"/>
    <w:rsid w:val="00F9053A"/>
    <w:rsid w:val="00F97A8D"/>
    <w:rsid w:val="00FA2E85"/>
    <w:rsid w:val="00FA3146"/>
    <w:rsid w:val="00FB52D8"/>
    <w:rsid w:val="00FC031B"/>
    <w:rsid w:val="00FC1F02"/>
    <w:rsid w:val="00FC252C"/>
    <w:rsid w:val="00FD0F5C"/>
    <w:rsid w:val="00FD191E"/>
    <w:rsid w:val="00FD4299"/>
    <w:rsid w:val="00FE2748"/>
    <w:rsid w:val="00FE2FE9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787487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8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lsiuap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4130-DB60-428C-8EFF-05B59483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cp:lastPrinted>2025-09-29T12:47:00Z</cp:lastPrinted>
  <dcterms:created xsi:type="dcterms:W3CDTF">2025-10-02T08:43:00Z</dcterms:created>
  <dcterms:modified xsi:type="dcterms:W3CDTF">2025-10-02T08:52:00Z</dcterms:modified>
</cp:coreProperties>
</file>