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CC3" w:rsidRDefault="009D300E">
      <w:pPr>
        <w:pStyle w:val="Body2"/>
        <w:spacing w:after="0"/>
        <w:ind w:left="5812"/>
        <w:jc w:val="right"/>
        <w:rPr>
          <w:lang w:val="lt-LT"/>
        </w:rPr>
      </w:pPr>
      <w:bookmarkStart w:id="0" w:name="_GoBack"/>
      <w:bookmarkEnd w:id="0"/>
      <w:r>
        <w:rPr>
          <w:lang w:val="lt-LT"/>
        </w:rPr>
        <w:t>Asmens higienos, slaugos ir</w:t>
      </w:r>
    </w:p>
    <w:p w:rsidR="00282CC3" w:rsidRDefault="009D300E">
      <w:pPr>
        <w:pStyle w:val="Body2"/>
        <w:spacing w:after="0"/>
        <w:ind w:left="5812"/>
        <w:jc w:val="right"/>
        <w:rPr>
          <w:lang w:val="lt-LT"/>
        </w:rPr>
      </w:pPr>
      <w:r>
        <w:rPr>
          <w:lang w:val="lt-LT"/>
        </w:rPr>
        <w:t>valymo priemonių bei prekių</w:t>
      </w:r>
    </w:p>
    <w:p w:rsidR="00282CC3" w:rsidRDefault="009D300E">
      <w:pPr>
        <w:pStyle w:val="Body2"/>
        <w:spacing w:after="0"/>
        <w:ind w:left="5812"/>
        <w:jc w:val="right"/>
        <w:rPr>
          <w:lang w:val="lt-LT"/>
        </w:rPr>
      </w:pPr>
      <w:r>
        <w:rPr>
          <w:lang w:val="lt-LT"/>
        </w:rPr>
        <w:t>atviro konkurso sąlygų</w:t>
      </w:r>
    </w:p>
    <w:p w:rsidR="00282CC3" w:rsidRDefault="009D300E">
      <w:pPr>
        <w:pStyle w:val="Standard"/>
        <w:ind w:left="9649" w:firstLine="719"/>
        <w:jc w:val="right"/>
      </w:pPr>
      <w:r>
        <w:t>2 priedas</w:t>
      </w:r>
    </w:p>
    <w:p w:rsidR="00282CC3" w:rsidRDefault="00282CC3">
      <w:pPr>
        <w:pStyle w:val="Standard"/>
        <w:jc w:val="center"/>
        <w:rPr>
          <w:b/>
          <w:bCs/>
        </w:rPr>
      </w:pPr>
    </w:p>
    <w:p w:rsidR="00282CC3" w:rsidRDefault="009D300E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ASMENS HIGIENOS, SLAUGOS IR VALYMO PRIEMONIŲ BEI PREKIŲ TECHNINĖ SPECIFIKACIJA</w:t>
      </w:r>
    </w:p>
    <w:p w:rsidR="00282CC3" w:rsidRDefault="00282CC3">
      <w:pPr>
        <w:pStyle w:val="Standard"/>
        <w:jc w:val="center"/>
        <w:rPr>
          <w:b/>
          <w:bCs/>
          <w:sz w:val="20"/>
          <w:szCs w:val="20"/>
        </w:rPr>
      </w:pPr>
    </w:p>
    <w:p w:rsidR="00282CC3" w:rsidRDefault="009D300E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VŠĮ VILNIAUS MIESTO KLINIKINEI LIGONINEI</w:t>
      </w:r>
    </w:p>
    <w:tbl>
      <w:tblPr>
        <w:tblW w:w="15452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58"/>
        <w:gridCol w:w="1251"/>
        <w:gridCol w:w="154"/>
        <w:gridCol w:w="90"/>
        <w:gridCol w:w="869"/>
        <w:gridCol w:w="54"/>
        <w:gridCol w:w="93"/>
        <w:gridCol w:w="1052"/>
        <w:gridCol w:w="72"/>
        <w:gridCol w:w="115"/>
        <w:gridCol w:w="1230"/>
        <w:gridCol w:w="47"/>
        <w:gridCol w:w="1087"/>
        <w:gridCol w:w="1134"/>
        <w:gridCol w:w="23"/>
        <w:gridCol w:w="954"/>
        <w:gridCol w:w="3540"/>
        <w:gridCol w:w="44"/>
        <w:gridCol w:w="2957"/>
      </w:tblGrid>
      <w:tr w:rsidR="00282CC3" w:rsidTr="002B3B5C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Eil.</w:t>
            </w:r>
          </w:p>
          <w:p w:rsidR="00282CC3" w:rsidRDefault="009D300E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13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1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Mato vienetas</w:t>
            </w:r>
          </w:p>
        </w:tc>
        <w:tc>
          <w:tcPr>
            <w:tcW w:w="12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Orientacinis poreikis metams (koncentruoto tirpalo)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Vieneto kaina su PVM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Orientacinio poreikio metams (koncentruoto tirpalo) kaina su PVM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litro darbinio tirpalo kaina su PVM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Pakuotė</w:t>
            </w:r>
          </w:p>
        </w:tc>
        <w:tc>
          <w:tcPr>
            <w:tcW w:w="3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Reikalavimai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Siūlomos charakteristikos</w:t>
            </w:r>
          </w:p>
        </w:tc>
      </w:tr>
      <w:tr w:rsidR="00282CC3" w:rsidTr="002B3B5C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82CC3" w:rsidTr="002B3B5C">
        <w:trPr>
          <w:trHeight w:val="571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Universali priemonė patalpų valymui</w:t>
            </w:r>
          </w:p>
        </w:tc>
        <w:tc>
          <w:tcPr>
            <w:tcW w:w="11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1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B73F0D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10000</w:t>
            </w:r>
          </w:p>
          <w:p w:rsidR="00282CC3" w:rsidRDefault="00282CC3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CB03C9" w:rsidRDefault="00CB03C9">
            <w:pPr>
              <w:pStyle w:val="TableContents"/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1,65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CB03C9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CB03C9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  <w:r w:rsidR="00B8420F">
              <w:rPr>
                <w:sz w:val="20"/>
                <w:szCs w:val="20"/>
              </w:rPr>
              <w:t>0</w:t>
            </w:r>
            <w:r w:rsidR="00D71D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-0,0825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 l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Skirta gydymo įstaigoms, profesionaliam naudojimui. PAM&lt;5%, alkoholio&lt;1%, PH- silpnai šarminis, ant paviršiaus neturi palikti plėvelės. Darbiniam tirpalui naudojama 10 – 50 ml į 10 l vandens. Turi tikti parketo, </w:t>
            </w:r>
            <w:proofErr w:type="spellStart"/>
            <w:r>
              <w:rPr>
                <w:sz w:val="20"/>
                <w:szCs w:val="20"/>
              </w:rPr>
              <w:t>tarketo</w:t>
            </w:r>
            <w:proofErr w:type="spellEnd"/>
            <w:r>
              <w:rPr>
                <w:sz w:val="20"/>
                <w:szCs w:val="20"/>
              </w:rPr>
              <w:t>, laminato, akmens masės, keraminių plytelių ir kitų grindų bei sienų paviršių valymui.</w:t>
            </w:r>
          </w:p>
          <w:p w:rsidR="00282CC3" w:rsidRDefault="009D300E">
            <w:pPr>
              <w:pStyle w:val="Standard"/>
              <w:snapToGrid w:val="0"/>
              <w:jc w:val="both"/>
            </w:pPr>
            <w:r>
              <w:rPr>
                <w:b/>
                <w:i/>
                <w:iCs/>
                <w:sz w:val="20"/>
                <w:szCs w:val="20"/>
                <w:u w:val="single"/>
              </w:rPr>
              <w:t>Pastaba: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Priemonė vertinama pagal 1l darbinio tirpalo kainą ( skaičiuojamas, pagal gamintojo instrukcijoje nurodytą reikalingą koncentrato kiekį ml paruošti  l </w:t>
            </w:r>
            <w:proofErr w:type="spellStart"/>
            <w:r>
              <w:rPr>
                <w:sz w:val="20"/>
                <w:szCs w:val="20"/>
              </w:rPr>
              <w:t>l</w:t>
            </w:r>
            <w:proofErr w:type="spellEnd"/>
            <w:r>
              <w:rPr>
                <w:sz w:val="20"/>
                <w:szCs w:val="20"/>
              </w:rPr>
              <w:t xml:space="preserve"> darbinio tirpalo).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D1286D" w:rsidRDefault="00CB03C9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Silpnai šarminė universali plovimo priemonė „</w:t>
            </w:r>
            <w:proofErr w:type="spellStart"/>
            <w:r>
              <w:rPr>
                <w:sz w:val="20"/>
                <w:szCs w:val="20"/>
              </w:rPr>
              <w:t>Step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Uniwash</w:t>
            </w:r>
            <w:proofErr w:type="spellEnd"/>
            <w:r>
              <w:rPr>
                <w:sz w:val="20"/>
                <w:szCs w:val="20"/>
              </w:rPr>
              <w:t>“</w:t>
            </w:r>
            <w:r w:rsidR="00D71DE8">
              <w:rPr>
                <w:sz w:val="20"/>
                <w:szCs w:val="20"/>
              </w:rPr>
              <w:t>, gamintojas „</w:t>
            </w:r>
            <w:proofErr w:type="spellStart"/>
            <w:r w:rsidR="00D71DE8">
              <w:rPr>
                <w:sz w:val="20"/>
                <w:szCs w:val="20"/>
              </w:rPr>
              <w:t>Estko</w:t>
            </w:r>
            <w:proofErr w:type="spellEnd"/>
            <w:r w:rsidR="00D71DE8">
              <w:rPr>
                <w:sz w:val="20"/>
                <w:szCs w:val="20"/>
              </w:rPr>
              <w:t>“, Estija, skirtas profesionaliam naudojimui. Nepalieka pl</w:t>
            </w:r>
            <w:r w:rsidR="00D1286D">
              <w:rPr>
                <w:sz w:val="20"/>
                <w:szCs w:val="20"/>
              </w:rPr>
              <w:t xml:space="preserve">ėvelės. Darbiniam tirpalui naudojama </w:t>
            </w:r>
            <w:r w:rsidR="00D1286D" w:rsidRPr="001676D3">
              <w:rPr>
                <w:sz w:val="20"/>
                <w:szCs w:val="20"/>
              </w:rPr>
              <w:t xml:space="preserve">6-50 ml </w:t>
            </w:r>
            <w:r w:rsidR="00D1286D">
              <w:rPr>
                <w:sz w:val="20"/>
                <w:szCs w:val="20"/>
              </w:rPr>
              <w:t>į 10 L vandens. Tinka valyti parketo, laminato, akmens masės, keraminių plytelių ir kitų grindų sienų paviršiams.</w:t>
            </w:r>
          </w:p>
        </w:tc>
      </w:tr>
      <w:tr w:rsidR="00282CC3" w:rsidTr="002B3B5C">
        <w:trPr>
          <w:trHeight w:val="319"/>
        </w:trPr>
        <w:tc>
          <w:tcPr>
            <w:tcW w:w="566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TableContents"/>
              <w:snapToGrid w:val="0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3 pirkimo dalis iš viso: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1286D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1286D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0,0102-0,0825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82CC3" w:rsidTr="002B3B5C">
        <w:trPr>
          <w:trHeight w:val="571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Eil.</w:t>
            </w:r>
          </w:p>
          <w:p w:rsidR="00282CC3" w:rsidRDefault="009D300E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Mato vienetas</w:t>
            </w:r>
          </w:p>
        </w:tc>
        <w:tc>
          <w:tcPr>
            <w:tcW w:w="11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Orienta-cinis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poreikis metams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Vieneto kaina su PVM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Orientacinė metinio poreikio suma be PVM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Orientacinė metinio poreikio suma su PVM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Pakuotė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Reikalavimai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Siūlomos charakteristikos</w:t>
            </w:r>
          </w:p>
        </w:tc>
      </w:tr>
      <w:tr w:rsidR="00282CC3" w:rsidTr="002B3B5C">
        <w:trPr>
          <w:trHeight w:val="414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82CC3" w:rsidTr="002B3B5C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Metalinių paviršių valiklis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1F68F5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  <w:r w:rsidR="009D300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1286D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402FAE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1477,69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402FAE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1788,00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– 1 l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Turi tikti metalinių paviršių iš nerūdijančio plieno, aliuminio priežiūrai. Saugo nuo pirštų atspaudų susidarymo. </w:t>
            </w:r>
            <w:r>
              <w:rPr>
                <w:sz w:val="20"/>
                <w:szCs w:val="20"/>
              </w:rPr>
              <w:lastRenderedPageBreak/>
              <w:t>Sudėtyje neturi būti rūgščių ir šarmų.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402FAE" w:rsidRDefault="00402FA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Metalinių paviršių valiklis </w:t>
            </w:r>
            <w:r w:rsidR="00155275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K-</w:t>
            </w:r>
            <w:proofErr w:type="spellStart"/>
            <w:r>
              <w:rPr>
                <w:sz w:val="20"/>
                <w:szCs w:val="20"/>
              </w:rPr>
              <w:t>expert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8 Quick cleaner</w:t>
            </w:r>
            <w:r w:rsidR="00155275">
              <w:rPr>
                <w:sz w:val="20"/>
                <w:szCs w:val="20"/>
                <w:lang w:val="en-GB"/>
              </w:rPr>
              <w:t>”</w:t>
            </w:r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gamintojas</w:t>
            </w:r>
            <w:proofErr w:type="spellEnd"/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Estko</w:t>
            </w:r>
            <w:proofErr w:type="spellEnd"/>
            <w:r>
              <w:rPr>
                <w:sz w:val="20"/>
                <w:szCs w:val="20"/>
              </w:rPr>
              <w:t xml:space="preserve">“, Estija. Tinka </w:t>
            </w:r>
            <w:r>
              <w:rPr>
                <w:sz w:val="20"/>
                <w:szCs w:val="20"/>
              </w:rPr>
              <w:lastRenderedPageBreak/>
              <w:t>metalinių paviršių iš ner</w:t>
            </w:r>
            <w:r w:rsidR="009244C8">
              <w:rPr>
                <w:sz w:val="20"/>
                <w:szCs w:val="20"/>
              </w:rPr>
              <w:t>ū</w:t>
            </w:r>
            <w:r>
              <w:rPr>
                <w:sz w:val="20"/>
                <w:szCs w:val="20"/>
              </w:rPr>
              <w:t xml:space="preserve">dijančio plieno, aliuminio priežiūrai, saugo nuo pirštų anspaudų susidarymo. Sudėtyje nėra </w:t>
            </w:r>
            <w:proofErr w:type="spellStart"/>
            <w:r>
              <w:rPr>
                <w:sz w:val="20"/>
                <w:szCs w:val="20"/>
              </w:rPr>
              <w:t>rųgščių</w:t>
            </w:r>
            <w:proofErr w:type="spellEnd"/>
            <w:r>
              <w:rPr>
                <w:sz w:val="20"/>
                <w:szCs w:val="20"/>
              </w:rPr>
              <w:t xml:space="preserve"> bei šarmų</w:t>
            </w:r>
          </w:p>
        </w:tc>
      </w:tr>
      <w:tr w:rsidR="00282CC3" w:rsidTr="002B3B5C">
        <w:tc>
          <w:tcPr>
            <w:tcW w:w="566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TableContents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 pirkimo dalis iš viso: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402FAE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1477,69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402FAE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1788,00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82CC3" w:rsidTr="002B3B5C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Valymo priemonė su chloru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2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3A3155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="009D30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0B2BD2" w:rsidRDefault="000B2BD2">
            <w:pPr>
              <w:pStyle w:val="Standard"/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2,12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B2B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7008,26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B2BD2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Sanitarinė valymo priemonė su chloru, turinti balinimo savybių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0F6B56" w:rsidRDefault="00155275">
            <w:pPr>
              <w:pStyle w:val="Standard"/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Sanitarinė valymo priemonė „</w:t>
            </w:r>
            <w:proofErr w:type="spellStart"/>
            <w:r>
              <w:rPr>
                <w:sz w:val="20"/>
                <w:szCs w:val="20"/>
              </w:rPr>
              <w:t>Desiklor</w:t>
            </w:r>
            <w:proofErr w:type="spellEnd"/>
            <w:r>
              <w:rPr>
                <w:sz w:val="20"/>
                <w:szCs w:val="20"/>
              </w:rPr>
              <w:t xml:space="preserve">“, gamintojas, </w:t>
            </w:r>
            <w:proofErr w:type="spellStart"/>
            <w:r>
              <w:rPr>
                <w:sz w:val="20"/>
                <w:szCs w:val="20"/>
              </w:rPr>
              <w:t>Estko</w:t>
            </w:r>
            <w:proofErr w:type="spellEnd"/>
            <w:r>
              <w:rPr>
                <w:sz w:val="20"/>
                <w:szCs w:val="20"/>
              </w:rPr>
              <w:t>, Estija. Sudėtyje turinti chloro, galima balinti.</w:t>
            </w:r>
          </w:p>
        </w:tc>
      </w:tr>
      <w:tr w:rsidR="00282CC3" w:rsidTr="002B3B5C">
        <w:tc>
          <w:tcPr>
            <w:tcW w:w="566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pirkimo dalis iš viso: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F6B5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7008,26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F6B5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</w:t>
            </w: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282CC3" w:rsidTr="00E16C7A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Druska (natrio </w:t>
            </w:r>
            <w:proofErr w:type="spellStart"/>
            <w:r>
              <w:rPr>
                <w:b/>
                <w:bCs/>
                <w:sz w:val="20"/>
                <w:szCs w:val="20"/>
              </w:rPr>
              <w:t>chloridum</w:t>
            </w:r>
            <w:proofErr w:type="spellEnd"/>
            <w:r>
              <w:rPr>
                <w:b/>
                <w:bCs/>
                <w:sz w:val="20"/>
                <w:szCs w:val="20"/>
              </w:rPr>
              <w:t>) vandens valymo filtrų regeneravimui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Kg</w:t>
            </w:r>
          </w:p>
        </w:tc>
        <w:tc>
          <w:tcPr>
            <w:tcW w:w="13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44873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9D300E">
              <w:rPr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F30708" w:rsidRDefault="002506AD">
            <w:pPr>
              <w:pStyle w:val="TableContents"/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0,2</w:t>
            </w:r>
            <w:r w:rsidR="002B3B5C">
              <w:rPr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506AD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3B5C">
              <w:rPr>
                <w:sz w:val="20"/>
                <w:szCs w:val="20"/>
              </w:rPr>
              <w:t>702,48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506AD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3B5C">
              <w:rPr>
                <w:sz w:val="20"/>
                <w:szCs w:val="20"/>
              </w:rPr>
              <w:t>900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Maišuose ne daugiau kaip po 25 kg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Tabletėmis. Švari, be priemaišų. Sufasuota į maišus ne daugiau kaip po 25 kg.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592311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Druskos tabletės ( natri </w:t>
            </w:r>
            <w:proofErr w:type="spellStart"/>
            <w:r>
              <w:rPr>
                <w:sz w:val="20"/>
                <w:szCs w:val="20"/>
              </w:rPr>
              <w:t>chloridum</w:t>
            </w:r>
            <w:proofErr w:type="spellEnd"/>
            <w:r>
              <w:rPr>
                <w:sz w:val="20"/>
                <w:szCs w:val="20"/>
              </w:rPr>
              <w:t xml:space="preserve">) vandens filtrų regeneravimui, Švarios be priemaišų. Sufasuotos po </w:t>
            </w:r>
            <w:r>
              <w:rPr>
                <w:sz w:val="20"/>
                <w:szCs w:val="20"/>
                <w:lang w:val="en-GB"/>
              </w:rPr>
              <w:t>25</w:t>
            </w:r>
            <w:r>
              <w:rPr>
                <w:sz w:val="20"/>
                <w:szCs w:val="20"/>
              </w:rPr>
              <w:t xml:space="preserve"> kg. Gamintojas, Lenkija</w:t>
            </w:r>
          </w:p>
        </w:tc>
      </w:tr>
      <w:tr w:rsidR="00282CC3" w:rsidTr="00E16C7A">
        <w:tc>
          <w:tcPr>
            <w:tcW w:w="571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TableContents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 pirkimo dalis iš viso: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D09E6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3B5C">
              <w:rPr>
                <w:sz w:val="20"/>
                <w:szCs w:val="20"/>
              </w:rPr>
              <w:t>702,48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D09E6">
            <w:pPr>
              <w:pStyle w:val="TableContents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3B5C">
              <w:rPr>
                <w:sz w:val="20"/>
                <w:szCs w:val="20"/>
              </w:rPr>
              <w:t>900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282CC3" w:rsidTr="00E16C7A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14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Polietileniniai maišai 240 l</w:t>
            </w:r>
          </w:p>
        </w:tc>
        <w:tc>
          <w:tcPr>
            <w:tcW w:w="1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3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044873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</w:t>
            </w:r>
            <w:r w:rsidR="009D300E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617A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0,145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617A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778,92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D617A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Pakuotėje ne daugiau kaip po 5 vnt.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both"/>
            </w:pPr>
            <w:r>
              <w:rPr>
                <w:sz w:val="20"/>
                <w:szCs w:val="20"/>
              </w:rPr>
              <w:t xml:space="preserve">Nepermatomi; </w:t>
            </w:r>
            <w:r>
              <w:rPr>
                <w:b/>
                <w:bCs/>
                <w:sz w:val="20"/>
                <w:szCs w:val="20"/>
              </w:rPr>
              <w:t>ypač stiprūs,</w:t>
            </w:r>
            <w:r>
              <w:rPr>
                <w:sz w:val="20"/>
                <w:szCs w:val="20"/>
              </w:rPr>
              <w:t xml:space="preserve"> plėvelės storis ne mažiau 0,05 mm. </w:t>
            </w:r>
            <w:r>
              <w:rPr>
                <w:b/>
                <w:bCs/>
                <w:sz w:val="20"/>
                <w:szCs w:val="20"/>
                <w:u w:val="single"/>
              </w:rPr>
              <w:t>Pakuotėje ne daugiau 5 vnt.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1C5D20" w:rsidRDefault="00D617A6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Polietileniai</w:t>
            </w:r>
            <w:proofErr w:type="spellEnd"/>
            <w:r>
              <w:rPr>
                <w:sz w:val="20"/>
                <w:szCs w:val="20"/>
              </w:rPr>
              <w:t xml:space="preserve"> maišai </w:t>
            </w:r>
            <w:r>
              <w:rPr>
                <w:sz w:val="20"/>
                <w:szCs w:val="20"/>
                <w:lang w:val="en-GB"/>
              </w:rPr>
              <w:t>240L</w:t>
            </w:r>
            <w:r w:rsidR="001C5D20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juodi</w:t>
            </w:r>
            <w:proofErr w:type="spellEnd"/>
            <w:r w:rsidR="001C5D20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nepermatomi</w:t>
            </w:r>
            <w:proofErr w:type="spellEnd"/>
            <w:r w:rsidR="001C5D20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plėvelės</w:t>
            </w:r>
            <w:proofErr w:type="spellEnd"/>
            <w:r w:rsidR="001C5D20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storis</w:t>
            </w:r>
            <w:proofErr w:type="spellEnd"/>
            <w:r w:rsidR="001C5D20">
              <w:rPr>
                <w:sz w:val="20"/>
                <w:szCs w:val="20"/>
                <w:lang w:val="en-GB"/>
              </w:rPr>
              <w:t xml:space="preserve"> 0,05 mm.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pakuotėje</w:t>
            </w:r>
            <w:proofErr w:type="spellEnd"/>
            <w:r w:rsidR="001C5D20">
              <w:rPr>
                <w:sz w:val="20"/>
                <w:szCs w:val="20"/>
              </w:rPr>
              <w:t xml:space="preserve"> po </w:t>
            </w:r>
            <w:r w:rsidR="001C5D20">
              <w:rPr>
                <w:sz w:val="20"/>
                <w:szCs w:val="20"/>
                <w:lang w:val="en-GB"/>
              </w:rPr>
              <w:t xml:space="preserve">5 </w:t>
            </w:r>
            <w:proofErr w:type="spellStart"/>
            <w:r w:rsidR="001C5D20">
              <w:rPr>
                <w:sz w:val="20"/>
                <w:szCs w:val="20"/>
                <w:lang w:val="en-GB"/>
              </w:rPr>
              <w:t>vnt</w:t>
            </w:r>
            <w:proofErr w:type="spellEnd"/>
            <w:r w:rsidR="001C5D20">
              <w:rPr>
                <w:sz w:val="20"/>
                <w:szCs w:val="20"/>
                <w:lang w:val="en-GB"/>
              </w:rPr>
              <w:t>.</w:t>
            </w:r>
            <w:r w:rsidR="008F23A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8F23A8">
              <w:rPr>
                <w:sz w:val="20"/>
                <w:szCs w:val="20"/>
                <w:lang w:val="en-GB"/>
              </w:rPr>
              <w:t>Gamintojas</w:t>
            </w:r>
            <w:proofErr w:type="spellEnd"/>
            <w:r w:rsidR="008F23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F23A8">
              <w:rPr>
                <w:sz w:val="20"/>
                <w:szCs w:val="20"/>
                <w:lang w:val="en-GB"/>
              </w:rPr>
              <w:t>Lenkija</w:t>
            </w:r>
            <w:proofErr w:type="spellEnd"/>
            <w:r w:rsidR="008F23A8">
              <w:rPr>
                <w:sz w:val="20"/>
                <w:szCs w:val="20"/>
                <w:lang w:val="en-GB"/>
              </w:rPr>
              <w:t xml:space="preserve"> Fast-</w:t>
            </w:r>
            <w:proofErr w:type="spellStart"/>
            <w:r w:rsidR="008F23A8">
              <w:rPr>
                <w:sz w:val="20"/>
                <w:szCs w:val="20"/>
                <w:lang w:val="en-GB"/>
              </w:rPr>
              <w:t>fol</w:t>
            </w:r>
            <w:proofErr w:type="spellEnd"/>
          </w:p>
        </w:tc>
      </w:tr>
      <w:tr w:rsidR="00282CC3" w:rsidTr="00E16C7A">
        <w:tc>
          <w:tcPr>
            <w:tcW w:w="571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 pirkimo dalis iš viso: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1C5D20" w:rsidRDefault="001C5D20">
            <w:pPr>
              <w:pStyle w:val="Standard"/>
              <w:snapToGri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778,92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1C5D20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282CC3" w:rsidTr="00E16C7A">
        <w:tc>
          <w:tcPr>
            <w:tcW w:w="6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4766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Polietileniniai maišai medicininėms atliekoms: </w:t>
            </w:r>
            <w:r>
              <w:rPr>
                <w:color w:val="000000"/>
                <w:sz w:val="20"/>
                <w:szCs w:val="20"/>
              </w:rPr>
              <w:t>(Būtina pateikti pasiūlymą visoms pirkimo dalies pozicijoms)</w:t>
            </w:r>
          </w:p>
        </w:tc>
      </w:tr>
      <w:tr w:rsidR="00282CC3" w:rsidTr="00E16C7A">
        <w:trPr>
          <w:trHeight w:val="1207"/>
        </w:trPr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Polietileniniai</w:t>
            </w:r>
          </w:p>
          <w:p w:rsidR="00282CC3" w:rsidRDefault="009D300E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maišai 30 l</w:t>
            </w: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122EC3">
            <w:pPr>
              <w:pStyle w:val="Standard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9D300E">
              <w:rPr>
                <w:b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8F23A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  <w:r w:rsidR="009D6B08">
              <w:rPr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8F23A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4425,62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8F23A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D6B08">
              <w:rPr>
                <w:sz w:val="20"/>
                <w:szCs w:val="20"/>
              </w:rPr>
              <w:t>355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</w:pPr>
            <w:r>
              <w:rPr>
                <w:sz w:val="20"/>
                <w:szCs w:val="20"/>
              </w:rPr>
              <w:t xml:space="preserve">Pakuotėje ne daugiau </w:t>
            </w:r>
            <w:r>
              <w:rPr>
                <w:bCs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vnt.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both"/>
            </w:pPr>
            <w:r>
              <w:rPr>
                <w:b/>
                <w:bCs/>
                <w:sz w:val="20"/>
                <w:szCs w:val="20"/>
              </w:rPr>
              <w:t>Ypač stiprūs</w:t>
            </w:r>
            <w:r>
              <w:rPr>
                <w:sz w:val="20"/>
                <w:szCs w:val="20"/>
              </w:rPr>
              <w:t xml:space="preserve">, išlaikantys iki 10 kg svorio, nepermatomi, nepraleidžiantys skysčio; tinkantys medicininėms atliekoms – </w:t>
            </w:r>
            <w:r>
              <w:rPr>
                <w:b/>
                <w:bCs/>
                <w:sz w:val="20"/>
                <w:szCs w:val="20"/>
              </w:rPr>
              <w:t xml:space="preserve">geltonos spalvos. </w:t>
            </w:r>
            <w:r>
              <w:rPr>
                <w:b/>
                <w:bCs/>
                <w:sz w:val="20"/>
                <w:szCs w:val="20"/>
                <w:u w:val="single"/>
              </w:rPr>
              <w:t>Pakuotėje ne daugiau kaip po 20 vnt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1676D3" w:rsidRDefault="00E86941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Polietileniniai maišai </w:t>
            </w:r>
            <w:r w:rsidRPr="001676D3">
              <w:rPr>
                <w:sz w:val="20"/>
                <w:szCs w:val="20"/>
              </w:rPr>
              <w:t>30L, 0,025 mm, i</w:t>
            </w:r>
            <w:r>
              <w:rPr>
                <w:sz w:val="20"/>
                <w:szCs w:val="20"/>
              </w:rPr>
              <w:t>š</w:t>
            </w:r>
            <w:r w:rsidRPr="001676D3">
              <w:rPr>
                <w:sz w:val="20"/>
                <w:szCs w:val="20"/>
              </w:rPr>
              <w:t>laikantys 10kg svorio, nepraleidžiantys skys</w:t>
            </w:r>
            <w:r>
              <w:rPr>
                <w:sz w:val="20"/>
                <w:szCs w:val="20"/>
              </w:rPr>
              <w:t>čio, t</w:t>
            </w:r>
            <w:r w:rsidR="00141143">
              <w:rPr>
                <w:sz w:val="20"/>
                <w:szCs w:val="20"/>
              </w:rPr>
              <w:t xml:space="preserve">inkantys </w:t>
            </w:r>
            <w:proofErr w:type="spellStart"/>
            <w:r w:rsidR="00141143">
              <w:rPr>
                <w:sz w:val="20"/>
                <w:szCs w:val="20"/>
              </w:rPr>
              <w:t>medicinėms</w:t>
            </w:r>
            <w:proofErr w:type="spellEnd"/>
            <w:r w:rsidR="00141143">
              <w:rPr>
                <w:sz w:val="20"/>
                <w:szCs w:val="20"/>
              </w:rPr>
              <w:t xml:space="preserve"> </w:t>
            </w:r>
            <w:proofErr w:type="spellStart"/>
            <w:r w:rsidR="00141143">
              <w:rPr>
                <w:sz w:val="20"/>
                <w:szCs w:val="20"/>
              </w:rPr>
              <w:t>atiekoms</w:t>
            </w:r>
            <w:proofErr w:type="spellEnd"/>
            <w:r w:rsidR="00141143">
              <w:rPr>
                <w:sz w:val="20"/>
                <w:szCs w:val="20"/>
              </w:rPr>
              <w:t xml:space="preserve">, geltonos spalvos, pakuotėje </w:t>
            </w:r>
            <w:r w:rsidR="00141143" w:rsidRPr="001676D3">
              <w:rPr>
                <w:sz w:val="20"/>
                <w:szCs w:val="20"/>
              </w:rPr>
              <w:t>20 vnt.</w:t>
            </w:r>
          </w:p>
        </w:tc>
      </w:tr>
      <w:tr w:rsidR="00282CC3" w:rsidTr="00E16C7A">
        <w:tc>
          <w:tcPr>
            <w:tcW w:w="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</w:t>
            </w:r>
          </w:p>
        </w:tc>
        <w:tc>
          <w:tcPr>
            <w:tcW w:w="15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Polietileniniai</w:t>
            </w:r>
          </w:p>
          <w:p w:rsidR="00282CC3" w:rsidRDefault="009D300E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maišai 60 l</w:t>
            </w:r>
          </w:p>
        </w:tc>
        <w:tc>
          <w:tcPr>
            <w:tcW w:w="10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2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122EC3">
            <w:pPr>
              <w:pStyle w:val="Standard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</w:t>
            </w:r>
            <w:r w:rsidR="009D300E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  <w:p w:rsidR="00282CC3" w:rsidRDefault="00282CC3">
            <w:pPr>
              <w:pStyle w:val="Standard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6B08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  <w:r w:rsidR="00141143">
              <w:rPr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CA376C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5272,73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CA376C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6380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Pakuotėje ne mažiau 10 vnt.</w:t>
            </w: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both"/>
            </w:pPr>
            <w:r>
              <w:rPr>
                <w:b/>
                <w:bCs/>
                <w:sz w:val="20"/>
                <w:szCs w:val="20"/>
              </w:rPr>
              <w:t>Ypač stiprūs,</w:t>
            </w:r>
            <w:r>
              <w:rPr>
                <w:sz w:val="20"/>
                <w:szCs w:val="20"/>
              </w:rPr>
              <w:t xml:space="preserve"> nepermatomi, tinkantys med. atliekoms – </w:t>
            </w:r>
            <w:r>
              <w:rPr>
                <w:b/>
                <w:bCs/>
                <w:sz w:val="20"/>
                <w:szCs w:val="20"/>
              </w:rPr>
              <w:t>geltonos spalvos</w:t>
            </w:r>
            <w:r>
              <w:rPr>
                <w:sz w:val="20"/>
                <w:szCs w:val="20"/>
              </w:rPr>
              <w:t xml:space="preserve">. Išlaiko iki 15 kg svorio. </w:t>
            </w:r>
            <w:r>
              <w:rPr>
                <w:b/>
                <w:bCs/>
                <w:sz w:val="20"/>
                <w:szCs w:val="20"/>
                <w:u w:val="single"/>
              </w:rPr>
              <w:t>Pakuotėje ne mažiau kaip po 10 vnt.</w:t>
            </w: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Pr="00141143" w:rsidRDefault="00141143">
            <w:pPr>
              <w:pStyle w:val="Standard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Polietileniai</w:t>
            </w:r>
            <w:proofErr w:type="spellEnd"/>
            <w:r>
              <w:rPr>
                <w:sz w:val="20"/>
                <w:szCs w:val="20"/>
              </w:rPr>
              <w:t xml:space="preserve"> maišai, 0,0</w:t>
            </w:r>
            <w:r w:rsidRPr="001676D3">
              <w:rPr>
                <w:sz w:val="20"/>
                <w:szCs w:val="20"/>
              </w:rPr>
              <w:t>3mm, i</w:t>
            </w:r>
            <w:r>
              <w:rPr>
                <w:sz w:val="20"/>
                <w:szCs w:val="20"/>
              </w:rPr>
              <w:t xml:space="preserve">šlaiko </w:t>
            </w:r>
            <w:r w:rsidRPr="001676D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kg. svorio, geltonos spalvos, pakuotėje 10 vnt.</w:t>
            </w:r>
          </w:p>
        </w:tc>
      </w:tr>
      <w:tr w:rsidR="00282CC3" w:rsidTr="00E16C7A">
        <w:tc>
          <w:tcPr>
            <w:tcW w:w="571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9D300E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38 pirkimo dalis iš viso:</w:t>
            </w:r>
          </w:p>
        </w:tc>
        <w:tc>
          <w:tcPr>
            <w:tcW w:w="1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E86941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9698,35</w:t>
            </w:r>
          </w:p>
        </w:tc>
        <w:tc>
          <w:tcPr>
            <w:tcW w:w="11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E86941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11735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CC3" w:rsidRDefault="00282CC3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</w:tc>
      </w:tr>
    </w:tbl>
    <w:p w:rsidR="00282CC3" w:rsidRDefault="00282CC3" w:rsidP="00D47204">
      <w:pPr>
        <w:pStyle w:val="Standard"/>
      </w:pPr>
    </w:p>
    <w:sectPr w:rsidR="00282CC3" w:rsidSect="006F1DD5">
      <w:pgSz w:w="16838" w:h="11906" w:orient="landscape"/>
      <w:pgMar w:top="1134" w:right="851" w:bottom="107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925" w:rsidRDefault="00932925">
      <w:r>
        <w:separator/>
      </w:r>
    </w:p>
  </w:endnote>
  <w:endnote w:type="continuationSeparator" w:id="0">
    <w:p w:rsidR="00932925" w:rsidRDefault="0093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925" w:rsidRDefault="00932925">
      <w:r>
        <w:rPr>
          <w:color w:val="000000"/>
        </w:rPr>
        <w:separator/>
      </w:r>
    </w:p>
  </w:footnote>
  <w:footnote w:type="continuationSeparator" w:id="0">
    <w:p w:rsidR="00932925" w:rsidRDefault="00932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C3B"/>
    <w:multiLevelType w:val="multilevel"/>
    <w:tmpl w:val="C9D6B678"/>
    <w:styleLink w:val="WWNum1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Symbol"/>
        <w:sz w:val="20"/>
        <w:szCs w:val="18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Symbol"/>
        <w:sz w:val="20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Symbol"/>
        <w:sz w:val="20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Symbol"/>
        <w:sz w:val="20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Symbol"/>
        <w:sz w:val="20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Symbol"/>
        <w:sz w:val="20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Symbol"/>
        <w:sz w:val="20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Symbol"/>
        <w:sz w:val="20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Symbol"/>
        <w:sz w:val="20"/>
        <w:szCs w:val="18"/>
      </w:rPr>
    </w:lvl>
  </w:abstractNum>
  <w:abstractNum w:abstractNumId="1" w15:restartNumberingAfterBreak="0">
    <w:nsid w:val="3A4657B9"/>
    <w:multiLevelType w:val="multilevel"/>
    <w:tmpl w:val="593485F2"/>
    <w:styleLink w:val="Sraonr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6AA0E41"/>
    <w:multiLevelType w:val="multilevel"/>
    <w:tmpl w:val="2AC41E32"/>
    <w:styleLink w:val="WWNum2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Symbol"/>
        <w:sz w:val="20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Symbol"/>
        <w:sz w:val="20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Symbol"/>
        <w:sz w:val="20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Symbol"/>
        <w:sz w:val="20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Symbol"/>
        <w:sz w:val="20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Symbol"/>
        <w:sz w:val="20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Symbol"/>
        <w:sz w:val="20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Symbol"/>
        <w:sz w:val="20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Symbol"/>
        <w:sz w:val="20"/>
        <w:szCs w:val="18"/>
      </w:rPr>
    </w:lvl>
  </w:abstractNum>
  <w:abstractNum w:abstractNumId="3" w15:restartNumberingAfterBreak="0">
    <w:nsid w:val="6CDF7BB9"/>
    <w:multiLevelType w:val="multilevel"/>
    <w:tmpl w:val="9AB4507E"/>
    <w:styleLink w:val="WWNum3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C3"/>
    <w:rsid w:val="0000511A"/>
    <w:rsid w:val="00044873"/>
    <w:rsid w:val="000A460E"/>
    <w:rsid w:val="000B2BD2"/>
    <w:rsid w:val="000B5907"/>
    <w:rsid w:val="000D09E6"/>
    <w:rsid w:val="000F6B56"/>
    <w:rsid w:val="00103428"/>
    <w:rsid w:val="00120EF9"/>
    <w:rsid w:val="0012104E"/>
    <w:rsid w:val="00122EC3"/>
    <w:rsid w:val="00141143"/>
    <w:rsid w:val="00155275"/>
    <w:rsid w:val="001676D3"/>
    <w:rsid w:val="00167E5D"/>
    <w:rsid w:val="00174D85"/>
    <w:rsid w:val="001B6E7A"/>
    <w:rsid w:val="001C5D20"/>
    <w:rsid w:val="001E14AE"/>
    <w:rsid w:val="001F68F5"/>
    <w:rsid w:val="00234FA8"/>
    <w:rsid w:val="002506AD"/>
    <w:rsid w:val="00282CC3"/>
    <w:rsid w:val="002A6416"/>
    <w:rsid w:val="002B3B5C"/>
    <w:rsid w:val="002D49DD"/>
    <w:rsid w:val="002E15A2"/>
    <w:rsid w:val="002E6D09"/>
    <w:rsid w:val="002F0BA9"/>
    <w:rsid w:val="003166E0"/>
    <w:rsid w:val="00352ACF"/>
    <w:rsid w:val="00357517"/>
    <w:rsid w:val="00372D7C"/>
    <w:rsid w:val="00372F55"/>
    <w:rsid w:val="003A3155"/>
    <w:rsid w:val="00402FAE"/>
    <w:rsid w:val="0041746A"/>
    <w:rsid w:val="00431070"/>
    <w:rsid w:val="004868CF"/>
    <w:rsid w:val="00492847"/>
    <w:rsid w:val="004C1A23"/>
    <w:rsid w:val="004D430A"/>
    <w:rsid w:val="004F62BC"/>
    <w:rsid w:val="00517AAB"/>
    <w:rsid w:val="00564D90"/>
    <w:rsid w:val="00592311"/>
    <w:rsid w:val="005A1C76"/>
    <w:rsid w:val="005B34D9"/>
    <w:rsid w:val="0065284A"/>
    <w:rsid w:val="00673622"/>
    <w:rsid w:val="006F1DD5"/>
    <w:rsid w:val="00766493"/>
    <w:rsid w:val="00772A4F"/>
    <w:rsid w:val="007772B3"/>
    <w:rsid w:val="00792F42"/>
    <w:rsid w:val="007D230A"/>
    <w:rsid w:val="007E49E5"/>
    <w:rsid w:val="0080184B"/>
    <w:rsid w:val="00872974"/>
    <w:rsid w:val="008955D0"/>
    <w:rsid w:val="008F23A8"/>
    <w:rsid w:val="009244C8"/>
    <w:rsid w:val="00932925"/>
    <w:rsid w:val="00935912"/>
    <w:rsid w:val="009B573F"/>
    <w:rsid w:val="009D300E"/>
    <w:rsid w:val="009D6B08"/>
    <w:rsid w:val="00AA6192"/>
    <w:rsid w:val="00AA64AA"/>
    <w:rsid w:val="00AC3FF9"/>
    <w:rsid w:val="00AD2AA8"/>
    <w:rsid w:val="00AF5BB9"/>
    <w:rsid w:val="00B07670"/>
    <w:rsid w:val="00B16823"/>
    <w:rsid w:val="00B330B9"/>
    <w:rsid w:val="00B73F0D"/>
    <w:rsid w:val="00B8420F"/>
    <w:rsid w:val="00BA21E9"/>
    <w:rsid w:val="00BB571A"/>
    <w:rsid w:val="00BF3AC6"/>
    <w:rsid w:val="00BF7AE7"/>
    <w:rsid w:val="00C95059"/>
    <w:rsid w:val="00CA1C0B"/>
    <w:rsid w:val="00CA376C"/>
    <w:rsid w:val="00CB03C9"/>
    <w:rsid w:val="00CD5E20"/>
    <w:rsid w:val="00CD7F06"/>
    <w:rsid w:val="00D01327"/>
    <w:rsid w:val="00D05A37"/>
    <w:rsid w:val="00D1286D"/>
    <w:rsid w:val="00D12C1F"/>
    <w:rsid w:val="00D34C97"/>
    <w:rsid w:val="00D427D1"/>
    <w:rsid w:val="00D47204"/>
    <w:rsid w:val="00D52FD0"/>
    <w:rsid w:val="00D617A6"/>
    <w:rsid w:val="00D71DE8"/>
    <w:rsid w:val="00DA6496"/>
    <w:rsid w:val="00DE0626"/>
    <w:rsid w:val="00E021AF"/>
    <w:rsid w:val="00E16C7A"/>
    <w:rsid w:val="00E23F87"/>
    <w:rsid w:val="00E51791"/>
    <w:rsid w:val="00E73FAC"/>
    <w:rsid w:val="00E86941"/>
    <w:rsid w:val="00EB1F22"/>
    <w:rsid w:val="00ED41ED"/>
    <w:rsid w:val="00F035A9"/>
    <w:rsid w:val="00F30708"/>
    <w:rsid w:val="00F53856"/>
    <w:rsid w:val="00F86471"/>
    <w:rsid w:val="00F87645"/>
    <w:rsid w:val="00FB6A5B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5E24D-E200-45FB-9499-8F0C4A85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kern w:val="3"/>
        <w:sz w:val="24"/>
        <w:szCs w:val="22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Standard"/>
    <w:pPr>
      <w:keepNext/>
      <w:widowControl/>
      <w:suppressAutoHyphens w:val="0"/>
      <w:outlineLvl w:val="0"/>
    </w:pPr>
    <w:rPr>
      <w:rFonts w:eastAsia="Times New Roman"/>
    </w:rPr>
  </w:style>
  <w:style w:type="paragraph" w:styleId="Antrat2">
    <w:name w:val="heading 2"/>
    <w:basedOn w:val="Standard"/>
    <w:pPr>
      <w:keepNext/>
      <w:outlineLvl w:val="1"/>
    </w:pPr>
    <w:rPr>
      <w:sz w:val="28"/>
      <w:szCs w:val="28"/>
    </w:rPr>
  </w:style>
  <w:style w:type="paragraph" w:styleId="Antrat3">
    <w:name w:val="heading 3"/>
    <w:basedOn w:val="Heading"/>
    <w:pPr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BodyText21">
    <w:name w:val="Body Text 21"/>
    <w:basedOn w:val="Standard"/>
    <w:pPr>
      <w:snapToGrid w:val="0"/>
      <w:jc w:val="both"/>
    </w:pPr>
    <w:rPr>
      <w:rFonts w:eastAsia="Times New Roman"/>
      <w:sz w:val="22"/>
      <w:szCs w:val="22"/>
    </w:rPr>
  </w:style>
  <w:style w:type="paragraph" w:styleId="Pagrindinistekstas3">
    <w:name w:val="Body Text 3"/>
    <w:basedOn w:val="Standard"/>
    <w:pPr>
      <w:widowControl/>
      <w:suppressAutoHyphens w:val="0"/>
    </w:pPr>
    <w:rPr>
      <w:rFonts w:eastAsia="Times New Roman"/>
      <w:b/>
      <w:bCs/>
      <w:color w:val="333333"/>
      <w:sz w:val="22"/>
      <w:szCs w:val="22"/>
      <w:lang w:val="en-US"/>
    </w:rPr>
  </w:style>
  <w:style w:type="paragraph" w:styleId="Debeslioteksta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initionTerm">
    <w:name w:val="Definition Term"/>
    <w:basedOn w:val="Standard"/>
  </w:style>
  <w:style w:type="paragraph" w:customStyle="1" w:styleId="DefinitionList">
    <w:name w:val="Definition List"/>
    <w:basedOn w:val="Standard"/>
    <w:pPr>
      <w:ind w:left="360"/>
    </w:pPr>
  </w:style>
  <w:style w:type="paragraph" w:customStyle="1" w:styleId="H1">
    <w:name w:val="H1"/>
    <w:basedOn w:val="Standard"/>
    <w:pPr>
      <w:keepNext/>
      <w:spacing w:before="100" w:after="100"/>
    </w:pPr>
    <w:rPr>
      <w:b/>
      <w:bCs/>
      <w:sz w:val="48"/>
      <w:szCs w:val="48"/>
    </w:rPr>
  </w:style>
  <w:style w:type="paragraph" w:customStyle="1" w:styleId="H2">
    <w:name w:val="H2"/>
    <w:basedOn w:val="Standard"/>
    <w:pPr>
      <w:keepNext/>
      <w:spacing w:before="100" w:after="100"/>
    </w:pPr>
    <w:rPr>
      <w:b/>
      <w:bCs/>
      <w:sz w:val="36"/>
      <w:szCs w:val="36"/>
    </w:rPr>
  </w:style>
  <w:style w:type="paragraph" w:customStyle="1" w:styleId="H3">
    <w:name w:val="H3"/>
    <w:basedOn w:val="Standard"/>
    <w:pPr>
      <w:keepNext/>
      <w:spacing w:before="100" w:after="100"/>
    </w:pPr>
    <w:rPr>
      <w:b/>
      <w:bCs/>
      <w:sz w:val="28"/>
      <w:szCs w:val="28"/>
    </w:rPr>
  </w:style>
  <w:style w:type="paragraph" w:customStyle="1" w:styleId="H4">
    <w:name w:val="H4"/>
    <w:basedOn w:val="Standard"/>
    <w:pPr>
      <w:keepNext/>
      <w:spacing w:before="100" w:after="100"/>
    </w:pPr>
    <w:rPr>
      <w:b/>
      <w:bCs/>
    </w:rPr>
  </w:style>
  <w:style w:type="paragraph" w:customStyle="1" w:styleId="H5">
    <w:name w:val="H5"/>
    <w:basedOn w:val="Standard"/>
    <w:pPr>
      <w:keepNext/>
      <w:spacing w:before="100" w:after="100"/>
    </w:pPr>
    <w:rPr>
      <w:b/>
      <w:bCs/>
      <w:sz w:val="20"/>
      <w:szCs w:val="20"/>
    </w:rPr>
  </w:style>
  <w:style w:type="paragraph" w:customStyle="1" w:styleId="H6">
    <w:name w:val="H6"/>
    <w:basedOn w:val="Standard"/>
    <w:pPr>
      <w:keepNext/>
      <w:spacing w:before="100" w:after="100"/>
    </w:pPr>
    <w:rPr>
      <w:b/>
      <w:bCs/>
      <w:sz w:val="16"/>
      <w:szCs w:val="16"/>
    </w:rPr>
  </w:style>
  <w:style w:type="paragraph" w:customStyle="1" w:styleId="Address">
    <w:name w:val="Address"/>
    <w:basedOn w:val="Standard"/>
    <w:rPr>
      <w:i/>
      <w:iCs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</w:style>
  <w:style w:type="paragraph" w:customStyle="1" w:styleId="Preformatted">
    <w:name w:val="Preformatted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Formospabaiga">
    <w:name w:val="HTML Bottom of Form"/>
    <w:basedOn w:val="Standard"/>
    <w:pPr>
      <w:widowControl/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jc w:val="center"/>
    </w:pPr>
    <w:rPr>
      <w:rFonts w:ascii="Arial" w:eastAsia="Arial" w:hAnsi="Arial" w:cs="Arial"/>
      <w:vanish/>
      <w:sz w:val="16"/>
      <w:szCs w:val="16"/>
    </w:rPr>
  </w:style>
  <w:style w:type="paragraph" w:styleId="Z-Formospradia">
    <w:name w:val="HTML Top of Form"/>
    <w:basedOn w:val="Standard"/>
    <w:pPr>
      <w:widowControl/>
      <w:jc w:val="center"/>
    </w:pPr>
    <w:rPr>
      <w:rFonts w:ascii="Arial" w:eastAsia="Arial" w:hAnsi="Arial" w:cs="Arial"/>
      <w:vanish/>
      <w:sz w:val="16"/>
      <w:szCs w:val="16"/>
    </w:rPr>
  </w:style>
  <w:style w:type="paragraph" w:styleId="HTMLiankstoformatuotas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HTMLBody">
    <w:name w:val="HTML Body"/>
    <w:pPr>
      <w:widowControl/>
      <w:suppressAutoHyphens/>
    </w:pPr>
    <w:rPr>
      <w:rFonts w:ascii="Courier New" w:eastAsia="Batang" w:hAnsi="Courier New" w:cs="Courier New"/>
      <w:sz w:val="20"/>
      <w:szCs w:val="20"/>
      <w:lang w:val="en-AU" w:eastAsia="ar-SA"/>
    </w:rPr>
  </w:style>
  <w:style w:type="paragraph" w:styleId="HTMLadresas">
    <w:name w:val="HTML Address"/>
    <w:basedOn w:val="Standard"/>
    <w:pPr>
      <w:widowControl/>
      <w:suppressAutoHyphens w:val="0"/>
    </w:pPr>
    <w:rPr>
      <w:i/>
      <w:iCs/>
    </w:rPr>
  </w:style>
  <w:style w:type="paragraph" w:customStyle="1" w:styleId="Body2">
    <w:name w:val="Body 2"/>
    <w:pPr>
      <w:widowControl/>
      <w:suppressAutoHyphens/>
      <w:spacing w:after="40"/>
      <w:jc w:val="both"/>
    </w:pPr>
    <w:rPr>
      <w:rFonts w:eastAsia="Arial Unicode MS" w:cs="Arial Unicode MS"/>
      <w:color w:val="000000"/>
      <w:lang w:val="en-US"/>
    </w:rPr>
  </w:style>
  <w:style w:type="paragraph" w:customStyle="1" w:styleId="Quotations">
    <w:name w:val="Quotations"/>
    <w:basedOn w:val="Standard"/>
  </w:style>
  <w:style w:type="paragraph" w:styleId="Pavadinimas">
    <w:name w:val="Title"/>
    <w:basedOn w:val="Heading"/>
  </w:style>
  <w:style w:type="paragraph" w:styleId="Paantrat">
    <w:name w:val="Subtitle"/>
    <w:basedOn w:val="Heading"/>
  </w:style>
  <w:style w:type="character" w:customStyle="1" w:styleId="Heading1Char">
    <w:name w:val="Heading 1 Char"/>
    <w:basedOn w:val="Numatytasispastraiposriftas"/>
    <w:rPr>
      <w:sz w:val="24"/>
      <w:szCs w:val="24"/>
      <w:lang w:eastAsia="zh-CN"/>
    </w:rPr>
  </w:style>
  <w:style w:type="character" w:customStyle="1" w:styleId="Heading2Char">
    <w:name w:val="Heading 2 Char"/>
    <w:basedOn w:val="Numatytasispastraiposriftas"/>
    <w:rPr>
      <w:rFonts w:eastAsia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rPr>
      <w:rFonts w:eastAsia="Times New Roman"/>
      <w:sz w:val="20"/>
      <w:szCs w:val="20"/>
      <w:lang w:eastAsia="zh-CN"/>
    </w:rPr>
  </w:style>
  <w:style w:type="character" w:customStyle="1" w:styleId="Antrat2Diagrama">
    <w:name w:val="Antraštė 2 Diagrama"/>
    <w:basedOn w:val="Numatytasispastraiposriftas"/>
    <w:rPr>
      <w:rFonts w:eastAsia="Times New Roman"/>
      <w:sz w:val="24"/>
      <w:szCs w:val="24"/>
      <w:lang w:eastAsia="zh-CN"/>
    </w:rPr>
  </w:style>
  <w:style w:type="character" w:customStyle="1" w:styleId="WW8Num1z0">
    <w:name w:val="WW8Num1z0"/>
    <w:rPr>
      <w:rFonts w:ascii="Symbol" w:eastAsia="Symbol" w:hAnsi="Symbol" w:cs="Symbol"/>
      <w:sz w:val="18"/>
      <w:szCs w:val="18"/>
    </w:rPr>
  </w:style>
  <w:style w:type="character" w:customStyle="1" w:styleId="WW8Num2z0">
    <w:name w:val="WW8Num2z0"/>
    <w:rPr>
      <w:rFonts w:ascii="Symbol" w:eastAsia="Symbol" w:hAnsi="Symbol" w:cs="Symbol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Grietas">
    <w:name w:val="Strong"/>
    <w:basedOn w:val="Numatytasispastraiposriftas"/>
    <w:rPr>
      <w:b/>
      <w:bCs/>
    </w:rPr>
  </w:style>
  <w:style w:type="character" w:customStyle="1" w:styleId="apple-converted-space">
    <w:name w:val="apple-converted-space"/>
    <w:basedOn w:val="Numatytasispastraiposriftas"/>
  </w:style>
  <w:style w:type="character" w:customStyle="1" w:styleId="Internetlink">
    <w:name w:val="Internet link"/>
    <w:basedOn w:val="Numatytasispastraiposriftas"/>
    <w:rPr>
      <w:color w:val="0000FF"/>
      <w:u w:val="single"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PagrindinistekstasDiagrama">
    <w:name w:val="Pagrindinis tekstas Diagrama"/>
    <w:basedOn w:val="Numatytasispastraiposriftas"/>
    <w:rPr>
      <w:rFonts w:eastAsia="Times New Roman"/>
      <w:sz w:val="24"/>
      <w:szCs w:val="24"/>
      <w:lang w:eastAsia="zh-CN"/>
    </w:rPr>
  </w:style>
  <w:style w:type="character" w:customStyle="1" w:styleId="Pagrindinistekstas3Diagrama">
    <w:name w:val="Pagrindinis tekstas 3 Diagrama"/>
    <w:basedOn w:val="Numatytasispastraiposriftas"/>
    <w:rPr>
      <w:rFonts w:eastAsia="Times New Roman"/>
      <w:b/>
      <w:bCs/>
      <w:color w:val="333333"/>
      <w:sz w:val="22"/>
      <w:szCs w:val="22"/>
      <w:lang w:val="en-US" w:eastAsia="zh-CN"/>
    </w:rPr>
  </w:style>
  <w:style w:type="character" w:customStyle="1" w:styleId="DebesliotekstasDiagrama">
    <w:name w:val="Debesėlio tekstas Diagrama"/>
    <w:basedOn w:val="Numatytasispastraiposriftas"/>
    <w:rPr>
      <w:rFonts w:ascii="Tahoma" w:eastAsia="Tahoma" w:hAnsi="Tahoma" w:cs="Tahoma"/>
      <w:sz w:val="16"/>
      <w:szCs w:val="16"/>
      <w:lang w:eastAsia="zh-CN"/>
    </w:rPr>
  </w:style>
  <w:style w:type="character" w:customStyle="1" w:styleId="Z-FormospabaigaDiagrama">
    <w:name w:val="Z-Formos pabaiga Diagrama"/>
    <w:basedOn w:val="Numatytasispastraiposriftas"/>
    <w:rPr>
      <w:rFonts w:ascii="Arial" w:eastAsia="Arial" w:hAnsi="Arial" w:cs="Arial"/>
      <w:vanish/>
      <w:sz w:val="24"/>
      <w:szCs w:val="24"/>
      <w:lang w:val="lt-LT" w:eastAsia="zh-CN"/>
    </w:rPr>
  </w:style>
  <w:style w:type="character" w:customStyle="1" w:styleId="Z-FormospradiaDiagrama">
    <w:name w:val="Z-Formos pradžia Diagrama"/>
    <w:basedOn w:val="Numatytasispastraiposriftas"/>
    <w:rPr>
      <w:rFonts w:ascii="Arial" w:eastAsia="Arial" w:hAnsi="Arial" w:cs="Arial"/>
      <w:vanish/>
      <w:sz w:val="24"/>
      <w:szCs w:val="24"/>
      <w:lang w:val="lt-LT" w:eastAsia="zh-CN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Courier New" w:hAnsi="Courier New" w:cs="Courier New"/>
      <w:sz w:val="20"/>
      <w:szCs w:val="20"/>
      <w:lang w:eastAsia="lt-LT"/>
    </w:rPr>
  </w:style>
  <w:style w:type="character" w:customStyle="1" w:styleId="HTMLadresasDiagrama">
    <w:name w:val="HTML adresas Diagrama"/>
    <w:basedOn w:val="Numatytasispastraiposriftas"/>
    <w:rPr>
      <w:rFonts w:eastAsia="Times New Roman"/>
      <w:i/>
      <w:iCs/>
      <w:sz w:val="24"/>
      <w:szCs w:val="24"/>
    </w:rPr>
  </w:style>
  <w:style w:type="character" w:customStyle="1" w:styleId="ListLabel1">
    <w:name w:val="ListLabel 1"/>
    <w:rPr>
      <w:rFonts w:cs="Symbol"/>
      <w:sz w:val="20"/>
      <w:szCs w:val="18"/>
    </w:rPr>
  </w:style>
  <w:style w:type="numbering" w:customStyle="1" w:styleId="Sraonra1">
    <w:name w:val="Sąrašo nėra1"/>
    <w:basedOn w:val="Sraonra"/>
    <w:pPr>
      <w:numPr>
        <w:numId w:val="1"/>
      </w:numPr>
    </w:pPr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character" w:styleId="Vietosrezervavimoenklotekstas">
    <w:name w:val="Placeholder Text"/>
    <w:basedOn w:val="Numatytasispastraiposriftas"/>
    <w:uiPriority w:val="99"/>
    <w:semiHidden/>
    <w:rsid w:val="00167E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Supaprastinto atviro</vt:lpstr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Supaprastinto atviro</dc:title>
  <dc:creator>VMKL</dc:creator>
  <cp:lastModifiedBy> </cp:lastModifiedBy>
  <cp:revision>2</cp:revision>
  <cp:lastPrinted>2017-04-03T13:35:00Z</cp:lastPrinted>
  <dcterms:created xsi:type="dcterms:W3CDTF">2018-07-17T08:07:00Z</dcterms:created>
  <dcterms:modified xsi:type="dcterms:W3CDTF">2018-07-17T08:07:00Z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VMKL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