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3753D5">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3753D5">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375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375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6FF83566" w:rsidR="004C0EB1" w:rsidRPr="00971C4C" w:rsidRDefault="00D63A14" w:rsidP="00D63A14">
            <w:pPr>
              <w:jc w:val="both"/>
              <w:rPr>
                <w:rFonts w:ascii="Calibri" w:hAnsi="Calibri" w:cs="Calibri"/>
                <w:color w:val="242424"/>
                <w:sz w:val="22"/>
                <w:szCs w:val="22"/>
                <w:lang w:eastAsia="lt-LT"/>
              </w:rPr>
            </w:pPr>
            <w:r w:rsidRPr="00D63A14">
              <w:rPr>
                <w:szCs w:val="24"/>
                <w:lang w:eastAsia="lt-LT"/>
              </w:rPr>
              <w:t>4562168</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3753D5">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3753D5">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3753D5">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3753D5">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3753D5">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3753D5">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3753D5">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3753D5">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3753D5">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3753D5">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3753D5">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3753D5">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3753D5">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0E6F221F" w:rsidR="004C0EB1" w:rsidRDefault="004C0EB1" w:rsidP="00ED4D8A">
            <w:pPr>
              <w:rPr>
                <w:kern w:val="2"/>
                <w:szCs w:val="24"/>
              </w:rPr>
            </w:pPr>
          </w:p>
        </w:tc>
      </w:tr>
      <w:tr w:rsidR="004C0EB1" w14:paraId="547FAAE0" w14:textId="77777777" w:rsidTr="003753D5">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587CB0F0" w:rsidR="004C0EB1" w:rsidRDefault="004C0EB1" w:rsidP="00ED4D8A">
            <w:pPr>
              <w:rPr>
                <w:kern w:val="2"/>
                <w:szCs w:val="24"/>
              </w:rPr>
            </w:pPr>
          </w:p>
        </w:tc>
      </w:tr>
      <w:tr w:rsidR="004C0EB1" w14:paraId="50A8DF6D" w14:textId="77777777" w:rsidTr="003753D5">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3753D5">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429CD170" w:rsidR="004C0EB1" w:rsidRDefault="004C0EB1" w:rsidP="00ED4D8A">
            <w:pPr>
              <w:rPr>
                <w:kern w:val="2"/>
                <w:szCs w:val="24"/>
              </w:rPr>
            </w:pPr>
          </w:p>
        </w:tc>
      </w:tr>
      <w:tr w:rsidR="004C0EB1" w14:paraId="72EF66F6" w14:textId="77777777" w:rsidTr="003753D5">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151B7EE5" w:rsidR="004C0EB1" w:rsidRDefault="004C0EB1" w:rsidP="00ED4D8A">
            <w:pPr>
              <w:jc w:val="both"/>
              <w:rPr>
                <w:kern w:val="2"/>
                <w:szCs w:val="24"/>
              </w:rPr>
            </w:pPr>
          </w:p>
        </w:tc>
      </w:tr>
      <w:tr w:rsidR="004C0EB1" w14:paraId="48184A70" w14:textId="77777777" w:rsidTr="003753D5">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5ADFDC6D" w:rsidR="004C0EB1" w:rsidRDefault="004C0EB1" w:rsidP="00ED4D8A">
            <w:pPr>
              <w:rPr>
                <w:kern w:val="2"/>
                <w:szCs w:val="24"/>
              </w:rPr>
            </w:pPr>
          </w:p>
        </w:tc>
      </w:tr>
      <w:tr w:rsidR="004C0EB1" w14:paraId="7DF65E87" w14:textId="77777777" w:rsidTr="003753D5">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59181524" w:rsidR="004C0EB1" w:rsidRDefault="004C0EB1" w:rsidP="00ED4D8A">
            <w:pPr>
              <w:rPr>
                <w:kern w:val="2"/>
                <w:szCs w:val="24"/>
              </w:rPr>
            </w:pPr>
          </w:p>
        </w:tc>
      </w:tr>
      <w:tr w:rsidR="004C0EB1" w14:paraId="0342525F" w14:textId="77777777" w:rsidTr="003753D5">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3753D5">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3753D5">
        <w:trPr>
          <w:trHeight w:val="300"/>
        </w:trPr>
        <w:tc>
          <w:tcPr>
            <w:tcW w:w="9918" w:type="dxa"/>
            <w:gridSpan w:val="4"/>
          </w:tcPr>
          <w:p w14:paraId="4B3E8F57" w14:textId="30EFAE64" w:rsidR="004C0EB1" w:rsidRDefault="004C0EB1" w:rsidP="00ED4D8A">
            <w:pPr>
              <w:jc w:val="center"/>
              <w:rPr>
                <w:b/>
                <w:kern w:val="2"/>
                <w:szCs w:val="24"/>
              </w:rPr>
            </w:pPr>
            <w:r>
              <w:br w:type="page"/>
            </w:r>
            <w:r>
              <w:rPr>
                <w:b/>
                <w:kern w:val="2"/>
                <w:szCs w:val="24"/>
              </w:rPr>
              <w:t>2. ATSAKINGI ASMENYS</w:t>
            </w:r>
          </w:p>
        </w:tc>
      </w:tr>
      <w:tr w:rsidR="004C0EB1" w14:paraId="63A9FE9C" w14:textId="77777777" w:rsidTr="003753D5">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3753D5">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11888181" w:rsidR="00127305" w:rsidRDefault="003273C9" w:rsidP="00127305">
            <w:pPr>
              <w:rPr>
                <w:color w:val="4472C4"/>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w:t>
            </w:r>
          </w:p>
          <w:p w14:paraId="1F9700BF" w14:textId="2D431C7B" w:rsidR="004C0EB1" w:rsidRDefault="004C0EB1" w:rsidP="00ED4D8A">
            <w:pPr>
              <w:rPr>
                <w:color w:val="4472C4"/>
                <w:kern w:val="2"/>
                <w:szCs w:val="24"/>
              </w:rPr>
            </w:pPr>
          </w:p>
        </w:tc>
      </w:tr>
      <w:tr w:rsidR="004C0EB1" w14:paraId="0A467E6F" w14:textId="77777777" w:rsidTr="003753D5">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3753D5">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20E01100" w14:textId="77777777" w:rsidR="004734FE" w:rsidRDefault="004734FE" w:rsidP="004734FE">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muzikos mokytojo kvalifikacinę kategoriją, praktinės veiklos vertinimas </w:t>
            </w:r>
            <w:r w:rsidRPr="00C26D57">
              <w:rPr>
                <w:szCs w:val="24"/>
                <w:lang w:eastAsia="lt-LT"/>
              </w:rPr>
              <w:t>Kelmės r. Tytuvėnuose</w:t>
            </w:r>
            <w:r>
              <w:rPr>
                <w:szCs w:val="24"/>
                <w:lang w:eastAsia="lt-LT"/>
              </w:rPr>
              <w:t xml:space="preserve"> (1 mokytojo vertinimas).</w:t>
            </w:r>
          </w:p>
          <w:p w14:paraId="4EF8FD19" w14:textId="77777777" w:rsidR="004734FE" w:rsidRDefault="004734FE" w:rsidP="004734FE">
            <w:pPr>
              <w:tabs>
                <w:tab w:val="num" w:pos="851"/>
                <w:tab w:val="left" w:pos="1134"/>
              </w:tabs>
              <w:jc w:val="both"/>
              <w:rPr>
                <w:rFonts w:ascii="TimesNewRomanPSMT" w:hAnsi="TimesNewRomanPSMT" w:cs="TimesNewRomanPSMT"/>
                <w:szCs w:val="24"/>
              </w:rPr>
            </w:pPr>
          </w:p>
          <w:p w14:paraId="41128897" w14:textId="77777777" w:rsidR="004734FE" w:rsidRDefault="004734FE" w:rsidP="004734FE">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muzikos mokytojo kvalifikacinę kategoriją, praktinės veiklos vertinimą mokytojo darbo vietoje.</w:t>
            </w:r>
          </w:p>
          <w:p w14:paraId="7F0EE0E5" w14:textId="77777777" w:rsidR="004734FE" w:rsidRDefault="004734FE" w:rsidP="004734FE">
            <w:pPr>
              <w:jc w:val="both"/>
              <w:rPr>
                <w:rFonts w:eastAsia="SimSun"/>
                <w:szCs w:val="24"/>
                <w:lang w:eastAsia="lt-LT"/>
              </w:rPr>
            </w:pPr>
          </w:p>
          <w:p w14:paraId="78D69B70" w14:textId="77777777" w:rsidR="004734FE" w:rsidRDefault="004734FE" w:rsidP="004734FE">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C26D57">
              <w:rPr>
                <w:szCs w:val="24"/>
                <w:lang w:eastAsia="lt-LT"/>
              </w:rPr>
              <w:t>Kelmės r. Tytuvėn</w:t>
            </w:r>
            <w:r>
              <w:rPr>
                <w:szCs w:val="24"/>
                <w:lang w:eastAsia="lt-LT"/>
              </w:rPr>
              <w:t>ų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3753D5">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3753D5">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3753D5">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3753D5">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3753D5">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3753D5">
        <w:trPr>
          <w:trHeight w:val="300"/>
        </w:trPr>
        <w:tc>
          <w:tcPr>
            <w:tcW w:w="3094" w:type="dxa"/>
            <w:gridSpan w:val="2"/>
          </w:tcPr>
          <w:p w14:paraId="40F5F05C" w14:textId="26EDBB55"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3753D5">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3753D5">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3753D5">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3753D5">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3753D5">
        <w:trPr>
          <w:trHeight w:val="300"/>
        </w:trPr>
        <w:tc>
          <w:tcPr>
            <w:tcW w:w="3094" w:type="dxa"/>
            <w:gridSpan w:val="2"/>
          </w:tcPr>
          <w:p w14:paraId="0C214103" w14:textId="20BFA6FF"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3753D5">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3753D5">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3753D5">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3753D5">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3753D5">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3753D5">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3753D5">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3753D5">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3753D5">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3753D5">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3753D5">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3753D5">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3753D5">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3753D5">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3753D5">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3753D5">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3753D5">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3753D5">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3753D5">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3753D5">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3753D5">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3753D5">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3753D5">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3753D5">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3753D5">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3753D5">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3753D5">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3753D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3753D5">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3753D5">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3753D5">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3753D5">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3753D5">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3753D5">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3753D5">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3753D5">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3753D5">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3753D5">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3753D5">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3753D5">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3753D5">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w:t>
            </w:r>
            <w:r w:rsidRPr="00E411C8">
              <w:rPr>
                <w:szCs w:val="24"/>
              </w:rPr>
              <w:lastRenderedPageBreak/>
              <w:t>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3753D5">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3753D5">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3753D5">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3753D5">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3753D5">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3753D5">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3753D5">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3753D5">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3753D5">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3753D5">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3753D5">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001E9620" w14:textId="77777777" w:rsidR="009719D7" w:rsidRDefault="009719D7" w:rsidP="009719D7">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muzikos</w:t>
      </w:r>
      <w:r w:rsidRPr="00DE77D1">
        <w:rPr>
          <w:szCs w:val="24"/>
          <w:lang w:eastAsia="lt-LT"/>
        </w:rPr>
        <w:t xml:space="preserve"> </w:t>
      </w:r>
      <w:r>
        <w:rPr>
          <w:szCs w:val="24"/>
          <w:lang w:eastAsia="lt-LT"/>
        </w:rPr>
        <w:t xml:space="preserve">mokytojo kvalifikacinę kategoriją, praktinės veiklos vertinimas </w:t>
      </w:r>
      <w:r w:rsidRPr="00C26D57">
        <w:rPr>
          <w:szCs w:val="24"/>
          <w:lang w:eastAsia="lt-LT"/>
        </w:rPr>
        <w:t xml:space="preserve">Kelmės r. Tytuvėnuose </w:t>
      </w:r>
      <w:r>
        <w:rPr>
          <w:szCs w:val="24"/>
          <w:lang w:eastAsia="lt-LT"/>
        </w:rPr>
        <w:t>(1 mokytojo vertinimas).</w:t>
      </w:r>
    </w:p>
    <w:p w14:paraId="30720964" w14:textId="77777777" w:rsidR="009719D7" w:rsidRDefault="009719D7" w:rsidP="009719D7">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1DF0AE9" w14:textId="77777777" w:rsidR="009719D7" w:rsidRDefault="009719D7" w:rsidP="009719D7">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4B25CBF" w14:textId="77777777" w:rsidR="009719D7" w:rsidRDefault="009719D7" w:rsidP="009719D7">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muzikos mokytojo kvalifikacinę kategoriją, praktinės veiklos vertinimas </w:t>
      </w:r>
      <w:r w:rsidRPr="00C26D57">
        <w:rPr>
          <w:szCs w:val="24"/>
          <w:lang w:eastAsia="lt-LT"/>
        </w:rPr>
        <w:t>Kelmės r. Tytuvėnuose</w:t>
      </w:r>
      <w:r>
        <w:rPr>
          <w:szCs w:val="24"/>
          <w:lang w:eastAsia="lt-LT"/>
        </w:rPr>
        <w:t xml:space="preserve">. </w:t>
      </w:r>
    </w:p>
    <w:p w14:paraId="499CC588" w14:textId="77777777" w:rsidR="009719D7" w:rsidRDefault="009719D7" w:rsidP="009719D7">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muzikos mokytojo kvalifikacinę kategoriją, praktinės veiklos vertinimas mokytojo darbo vietoje (toliau – paslaugos). Mokytojo praktinės veiklos vertinimas vyks </w:t>
      </w:r>
      <w:r w:rsidRPr="00C26D57">
        <w:rPr>
          <w:szCs w:val="24"/>
          <w:lang w:eastAsia="lt-LT"/>
        </w:rPr>
        <w:t>Kelmės r. Tytuvėn</w:t>
      </w:r>
      <w:r>
        <w:rPr>
          <w:szCs w:val="24"/>
          <w:lang w:eastAsia="lt-LT"/>
        </w:rPr>
        <w:t>ų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DD7F" w14:textId="77777777" w:rsidR="00F07817" w:rsidRDefault="00F07817">
      <w:pPr>
        <w:rPr>
          <w:sz w:val="20"/>
        </w:rPr>
      </w:pPr>
      <w:r>
        <w:rPr>
          <w:sz w:val="20"/>
        </w:rPr>
        <w:separator/>
      </w:r>
    </w:p>
  </w:endnote>
  <w:endnote w:type="continuationSeparator" w:id="0">
    <w:p w14:paraId="3D54E183" w14:textId="77777777" w:rsidR="00F07817" w:rsidRDefault="00F07817">
      <w:pPr>
        <w:rPr>
          <w:sz w:val="20"/>
        </w:rPr>
      </w:pPr>
      <w:r>
        <w:rPr>
          <w:sz w:val="20"/>
        </w:rPr>
        <w:continuationSeparator/>
      </w:r>
    </w:p>
  </w:endnote>
  <w:endnote w:type="continuationNotice" w:id="1">
    <w:p w14:paraId="798E9E63" w14:textId="77777777" w:rsidR="00F07817" w:rsidRDefault="00F0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A3F5" w14:textId="77777777" w:rsidR="00F07817" w:rsidRDefault="00F07817">
      <w:pPr>
        <w:rPr>
          <w:sz w:val="20"/>
        </w:rPr>
      </w:pPr>
      <w:r>
        <w:rPr>
          <w:sz w:val="20"/>
        </w:rPr>
        <w:separator/>
      </w:r>
    </w:p>
  </w:footnote>
  <w:footnote w:type="continuationSeparator" w:id="0">
    <w:p w14:paraId="51166CA8" w14:textId="77777777" w:rsidR="00F07817" w:rsidRDefault="00F07817">
      <w:pPr>
        <w:rPr>
          <w:sz w:val="20"/>
        </w:rPr>
      </w:pPr>
      <w:r>
        <w:rPr>
          <w:sz w:val="20"/>
        </w:rPr>
        <w:continuationSeparator/>
      </w:r>
    </w:p>
  </w:footnote>
  <w:footnote w:type="continuationNotice" w:id="1">
    <w:p w14:paraId="68F9F987" w14:textId="77777777" w:rsidR="00F07817" w:rsidRDefault="00F0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962760595">
    <w:abstractNumId w:val="1"/>
  </w:num>
  <w:num w:numId="2" w16cid:durableId="334377859">
    <w:abstractNumId w:val="0"/>
  </w:num>
  <w:num w:numId="3" w16cid:durableId="1356687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A75F1"/>
    <w:rsid w:val="000B0897"/>
    <w:rsid w:val="00120561"/>
    <w:rsid w:val="00127305"/>
    <w:rsid w:val="001F7001"/>
    <w:rsid w:val="001F7E23"/>
    <w:rsid w:val="0020124D"/>
    <w:rsid w:val="00290E74"/>
    <w:rsid w:val="002D53E6"/>
    <w:rsid w:val="002E77B8"/>
    <w:rsid w:val="003051E5"/>
    <w:rsid w:val="003273C9"/>
    <w:rsid w:val="00360A13"/>
    <w:rsid w:val="003753D5"/>
    <w:rsid w:val="004213B8"/>
    <w:rsid w:val="00422E35"/>
    <w:rsid w:val="0046775C"/>
    <w:rsid w:val="00470371"/>
    <w:rsid w:val="004734FE"/>
    <w:rsid w:val="004C0EB1"/>
    <w:rsid w:val="004C54E1"/>
    <w:rsid w:val="00506ADC"/>
    <w:rsid w:val="00511964"/>
    <w:rsid w:val="00562729"/>
    <w:rsid w:val="0057703F"/>
    <w:rsid w:val="00580A5C"/>
    <w:rsid w:val="00590756"/>
    <w:rsid w:val="00594457"/>
    <w:rsid w:val="0059715C"/>
    <w:rsid w:val="00604966"/>
    <w:rsid w:val="00637F70"/>
    <w:rsid w:val="00654ABD"/>
    <w:rsid w:val="00674764"/>
    <w:rsid w:val="006813F1"/>
    <w:rsid w:val="00686AB1"/>
    <w:rsid w:val="006E7DE3"/>
    <w:rsid w:val="0071112E"/>
    <w:rsid w:val="0072719D"/>
    <w:rsid w:val="00754B9D"/>
    <w:rsid w:val="00766E63"/>
    <w:rsid w:val="007D5637"/>
    <w:rsid w:val="00803B4B"/>
    <w:rsid w:val="008072ED"/>
    <w:rsid w:val="0082099B"/>
    <w:rsid w:val="0084583C"/>
    <w:rsid w:val="0093064D"/>
    <w:rsid w:val="009719D7"/>
    <w:rsid w:val="009728BC"/>
    <w:rsid w:val="00982C2F"/>
    <w:rsid w:val="009934E3"/>
    <w:rsid w:val="009F6569"/>
    <w:rsid w:val="00A51964"/>
    <w:rsid w:val="00A75C0B"/>
    <w:rsid w:val="00A8700A"/>
    <w:rsid w:val="00AA18D6"/>
    <w:rsid w:val="00AA1D79"/>
    <w:rsid w:val="00AA73A3"/>
    <w:rsid w:val="00B739FC"/>
    <w:rsid w:val="00B75479"/>
    <w:rsid w:val="00BA6090"/>
    <w:rsid w:val="00BF5347"/>
    <w:rsid w:val="00CB6A87"/>
    <w:rsid w:val="00D63A14"/>
    <w:rsid w:val="00DA4E0C"/>
    <w:rsid w:val="00DE5377"/>
    <w:rsid w:val="00E225C3"/>
    <w:rsid w:val="00E431B7"/>
    <w:rsid w:val="00E472B4"/>
    <w:rsid w:val="00E77C6A"/>
    <w:rsid w:val="00E92B40"/>
    <w:rsid w:val="00E92C6E"/>
    <w:rsid w:val="00EA77DA"/>
    <w:rsid w:val="00EC59FA"/>
    <w:rsid w:val="00ED5407"/>
    <w:rsid w:val="00F07817"/>
    <w:rsid w:val="00F60BD9"/>
    <w:rsid w:val="00F81692"/>
    <w:rsid w:val="00FA2FD4"/>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1C4115B6-5ECE-4F52-A799-C864F3EC2442}">
  <ds:schemaRefs>
    <ds:schemaRef ds:uri="http://schemas.openxmlformats.org/officeDocument/2006/bibliography"/>
  </ds:schemaRefs>
</ds:datastoreItem>
</file>

<file path=customXml/itemProps3.xml><?xml version="1.0" encoding="utf-8"?>
<ds:datastoreItem xmlns:ds="http://schemas.openxmlformats.org/officeDocument/2006/customXml" ds:itemID="{3D3C9880-579F-4DB1-8DB3-7A6FEA36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www.w3.org/XML/1998/namespace"/>
    <ds:schemaRef ds:uri="441e4d8e-a8ab-46be-9694-e40af28e9c6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68090</Words>
  <Characters>38812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2025-10-06T11:40:00Z</dcterms:created>
  <dcterms:modified xsi:type="dcterms:W3CDTF">2025-10-06T11:40:00Z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