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6AAE" w14:textId="3190D4B8" w:rsidR="006F4F4A" w:rsidRDefault="00CA2823" w:rsidP="00CA2823">
      <w:pPr>
        <w:jc w:val="center"/>
        <w:rPr>
          <w:rFonts w:ascii="Times New Roman" w:hAnsi="Times New Roman" w:cs="Times New Roman"/>
        </w:rPr>
      </w:pPr>
      <w:r w:rsidRPr="00CA2823">
        <w:rPr>
          <w:rFonts w:ascii="Times New Roman" w:hAnsi="Times New Roman" w:cs="Times New Roman"/>
        </w:rPr>
        <w:t>Dėl rinkos konsultacijos metu gautų pastabų ir pasiūlymų taktinių pirštinių techninei specifikacijai</w:t>
      </w:r>
    </w:p>
    <w:p w14:paraId="7A30113A" w14:textId="77777777" w:rsidR="00CA2823" w:rsidRDefault="00CA2823" w:rsidP="00CA2823">
      <w:pPr>
        <w:jc w:val="center"/>
        <w:rPr>
          <w:rFonts w:ascii="Times New Roman" w:hAnsi="Times New Roman" w:cs="Times New Roman"/>
        </w:rPr>
      </w:pPr>
    </w:p>
    <w:p w14:paraId="46F8E49F" w14:textId="3B477B8C" w:rsidR="00CA2823" w:rsidRDefault="00CA2823" w:rsidP="00714C1B">
      <w:pPr>
        <w:ind w:firstLine="510"/>
        <w:jc w:val="both"/>
        <w:rPr>
          <w:rFonts w:ascii="Times New Roman" w:hAnsi="Times New Roman" w:cs="Times New Roman"/>
        </w:rPr>
      </w:pPr>
      <w:r>
        <w:rPr>
          <w:rFonts w:ascii="Times New Roman" w:hAnsi="Times New Roman" w:cs="Times New Roman"/>
        </w:rPr>
        <w:t xml:space="preserve">Dėkojame už Jūsų aktyvų dalyvavimą rinkos konsultacijoje ir pateiktas vertingas technines įžvalgas bei pasiūlymus dėl taktinių pirštinių specifikacijų tikslinimo. Įvertinę Jūsų pateiktą informaciją dėl medžiagų savybių, standartų taikymo, odos apdorojimo technologijų bei anatominių gaminio savybių, patikslinsime techninę specifikaciją, siekdami užtikrinti aukščiausią gaminio kokybę ir skaidrią konkurenciją. </w:t>
      </w:r>
      <w:r w:rsidR="000378F5">
        <w:rPr>
          <w:rFonts w:ascii="Times New Roman" w:hAnsi="Times New Roman" w:cs="Times New Roman"/>
        </w:rPr>
        <w:t>Žemiau pateikiame atsakymus į Jūsų iškeltus klausimus dėl pirkimo sąlygų:</w:t>
      </w:r>
    </w:p>
    <w:p w14:paraId="5EFEF706" w14:textId="77777777" w:rsidR="0089402B" w:rsidRDefault="000378F5" w:rsidP="00CA2823">
      <w:pPr>
        <w:jc w:val="both"/>
        <w:rPr>
          <w:rFonts w:ascii="Times New Roman" w:hAnsi="Times New Roman" w:cs="Times New Roman"/>
        </w:rPr>
      </w:pPr>
      <w:r>
        <w:rPr>
          <w:rFonts w:ascii="Times New Roman" w:hAnsi="Times New Roman" w:cs="Times New Roman"/>
        </w:rPr>
        <w:t xml:space="preserve">1. Dėl garantinio termino: </w:t>
      </w:r>
    </w:p>
    <w:p w14:paraId="13426B68" w14:textId="6A23158F" w:rsidR="000378F5" w:rsidRDefault="000378F5" w:rsidP="00714C1B">
      <w:pPr>
        <w:ind w:firstLine="510"/>
        <w:jc w:val="both"/>
        <w:rPr>
          <w:rFonts w:ascii="Times New Roman" w:hAnsi="Times New Roman" w:cs="Times New Roman"/>
        </w:rPr>
      </w:pPr>
      <w:r>
        <w:rPr>
          <w:rFonts w:ascii="Times New Roman" w:hAnsi="Times New Roman" w:cs="Times New Roman"/>
        </w:rPr>
        <w:t xml:space="preserve">Informuojame, kad nustatytas 12 mėnesių garantinis laikotarpis nebus keičiamas. Pažymime, kad garantija taikoma gamykliniams defektams ir medžiagų kokybės paslėptiems trūkumams, o ne natūraliam gaminio nusidėvėjimui dėl intensyvios eksploatacijos. Šis reikalavimas yra proporcingas siekiant užtikrinti gaminamų prekių kokybės pastovumą. </w:t>
      </w:r>
    </w:p>
    <w:p w14:paraId="16CF0CB4" w14:textId="77777777" w:rsidR="0089402B" w:rsidRDefault="000378F5" w:rsidP="00CA2823">
      <w:pPr>
        <w:jc w:val="both"/>
        <w:rPr>
          <w:rFonts w:ascii="Times New Roman" w:hAnsi="Times New Roman" w:cs="Times New Roman"/>
        </w:rPr>
      </w:pPr>
      <w:r>
        <w:rPr>
          <w:rFonts w:ascii="Times New Roman" w:hAnsi="Times New Roman" w:cs="Times New Roman"/>
        </w:rPr>
        <w:t xml:space="preserve">2. Dėl NSN kodo ženklinimo: </w:t>
      </w:r>
    </w:p>
    <w:p w14:paraId="6B7B6658" w14:textId="7657867B" w:rsidR="000378F5" w:rsidRDefault="000378F5" w:rsidP="00714C1B">
      <w:pPr>
        <w:ind w:firstLine="510"/>
        <w:jc w:val="both"/>
        <w:rPr>
          <w:rFonts w:ascii="Times New Roman" w:hAnsi="Times New Roman" w:cs="Times New Roman"/>
        </w:rPr>
      </w:pPr>
      <w:r>
        <w:rPr>
          <w:rFonts w:ascii="Times New Roman" w:hAnsi="Times New Roman" w:cs="Times New Roman"/>
        </w:rPr>
        <w:t>Reikalavimas dėl NSN kodo nurodymo gaminio ženklinimo juostelėje išlieka galioti. Perkančioji organizacija disponuoja prekėms suteiktais NSN kodais, todėl jie bus pateikti laimėjusiam tiekėjui sutarties vykdymo metu. Tiekėjui nekyla pareiga pačiam inicijuoti kodo suteikimo proceso.</w:t>
      </w:r>
    </w:p>
    <w:p w14:paraId="17BC5998" w14:textId="77777777" w:rsidR="0089402B" w:rsidRDefault="000378F5" w:rsidP="00CA2823">
      <w:pPr>
        <w:jc w:val="both"/>
        <w:rPr>
          <w:rFonts w:ascii="Times New Roman" w:hAnsi="Times New Roman" w:cs="Times New Roman"/>
        </w:rPr>
      </w:pPr>
      <w:r>
        <w:rPr>
          <w:rFonts w:ascii="Times New Roman" w:hAnsi="Times New Roman" w:cs="Times New Roman"/>
        </w:rPr>
        <w:t xml:space="preserve">3. Dėl pirštinės poros formos: </w:t>
      </w:r>
    </w:p>
    <w:p w14:paraId="08F7C69C" w14:textId="20271E26" w:rsidR="000378F5" w:rsidRDefault="000378F5" w:rsidP="00714C1B">
      <w:pPr>
        <w:ind w:firstLine="510"/>
        <w:jc w:val="both"/>
        <w:rPr>
          <w:rFonts w:ascii="Times New Roman" w:hAnsi="Times New Roman" w:cs="Times New Roman"/>
        </w:rPr>
      </w:pPr>
      <w:r>
        <w:rPr>
          <w:rFonts w:ascii="Times New Roman" w:hAnsi="Times New Roman" w:cs="Times New Roman"/>
        </w:rPr>
        <w:t xml:space="preserve">Patiksliname, kad pirštinės privalo būti anatominės formos, </w:t>
      </w:r>
      <w:proofErr w:type="spellStart"/>
      <w:r>
        <w:rPr>
          <w:rFonts w:ascii="Times New Roman" w:hAnsi="Times New Roman" w:cs="Times New Roman"/>
        </w:rPr>
        <w:t>t.y</w:t>
      </w:r>
      <w:proofErr w:type="spellEnd"/>
      <w:r>
        <w:rPr>
          <w:rFonts w:ascii="Times New Roman" w:hAnsi="Times New Roman" w:cs="Times New Roman"/>
        </w:rPr>
        <w:t>.</w:t>
      </w:r>
      <w:r w:rsidR="0089402B">
        <w:rPr>
          <w:rFonts w:ascii="Times New Roman" w:hAnsi="Times New Roman" w:cs="Times New Roman"/>
        </w:rPr>
        <w:t>,</w:t>
      </w:r>
      <w:r>
        <w:rPr>
          <w:rFonts w:ascii="Times New Roman" w:hAnsi="Times New Roman" w:cs="Times New Roman"/>
        </w:rPr>
        <w:t xml:space="preserve"> turėti atskirą kairės ir dešinės rankos formą. Techninė specifikacija bus pakoreguota pašalinant </w:t>
      </w:r>
      <w:r w:rsidR="0089402B">
        <w:rPr>
          <w:rFonts w:ascii="Times New Roman" w:hAnsi="Times New Roman" w:cs="Times New Roman"/>
        </w:rPr>
        <w:t>bet</w:t>
      </w:r>
      <w:r>
        <w:rPr>
          <w:rFonts w:ascii="Times New Roman" w:hAnsi="Times New Roman" w:cs="Times New Roman"/>
        </w:rPr>
        <w:t xml:space="preserve"> kokias dviprasmybes dėl gaminio universalumo. </w:t>
      </w:r>
    </w:p>
    <w:p w14:paraId="21564C8A" w14:textId="77C779E4" w:rsidR="0066630F" w:rsidRDefault="0066630F" w:rsidP="00CA2823">
      <w:pPr>
        <w:jc w:val="both"/>
        <w:rPr>
          <w:rFonts w:ascii="Times New Roman" w:hAnsi="Times New Roman" w:cs="Times New Roman"/>
        </w:rPr>
      </w:pPr>
      <w:r>
        <w:rPr>
          <w:rFonts w:ascii="Times New Roman" w:hAnsi="Times New Roman" w:cs="Times New Roman"/>
        </w:rPr>
        <w:t>4. Dėl EN 407 standarto lygių:</w:t>
      </w:r>
    </w:p>
    <w:p w14:paraId="120FCA09" w14:textId="5396EEB2" w:rsidR="0066630F" w:rsidRDefault="0066630F" w:rsidP="00714C1B">
      <w:pPr>
        <w:ind w:firstLine="510"/>
        <w:jc w:val="both"/>
        <w:rPr>
          <w:rFonts w:ascii="Times New Roman" w:hAnsi="Times New Roman" w:cs="Times New Roman"/>
        </w:rPr>
      </w:pPr>
      <w:r>
        <w:rPr>
          <w:rFonts w:ascii="Times New Roman" w:hAnsi="Times New Roman" w:cs="Times New Roman"/>
        </w:rPr>
        <w:t xml:space="preserve">Atsižvelgiant į Jūsų pastabas, bus nurodyti konkretūs apsaugos lygiai: 4 lygis atsparumui ribotam liepsnos plitimui ir 2 lygis (iki 250°C) atsparumas kontaktiniam karščiui. </w:t>
      </w:r>
    </w:p>
    <w:p w14:paraId="144FADA1" w14:textId="54AF5716" w:rsidR="00581532" w:rsidRDefault="00581532" w:rsidP="00CA2823">
      <w:pPr>
        <w:jc w:val="both"/>
        <w:rPr>
          <w:rFonts w:ascii="Times New Roman" w:hAnsi="Times New Roman" w:cs="Times New Roman"/>
        </w:rPr>
      </w:pPr>
      <w:r>
        <w:rPr>
          <w:rFonts w:ascii="Times New Roman" w:hAnsi="Times New Roman" w:cs="Times New Roman"/>
        </w:rPr>
        <w:t>5. Dėl lietimui jautrios medžiagos:</w:t>
      </w:r>
    </w:p>
    <w:p w14:paraId="2E888766" w14:textId="1D87581F" w:rsidR="00581532" w:rsidRDefault="00581532" w:rsidP="00714C1B">
      <w:pPr>
        <w:ind w:firstLine="510"/>
        <w:jc w:val="both"/>
        <w:rPr>
          <w:rFonts w:ascii="Times New Roman" w:hAnsi="Times New Roman" w:cs="Times New Roman"/>
        </w:rPr>
      </w:pPr>
      <w:r>
        <w:rPr>
          <w:rFonts w:ascii="Times New Roman" w:hAnsi="Times New Roman" w:cs="Times New Roman"/>
        </w:rPr>
        <w:t xml:space="preserve">Atliepiant kariuomenės poreikį, lietimui jautri medžiaga turi būti ant nykščio ir didžiojo piršto. Šis sprendimas yra ne tik sklandžiam </w:t>
      </w:r>
      <w:proofErr w:type="spellStart"/>
      <w:r>
        <w:rPr>
          <w:rFonts w:ascii="Times New Roman" w:hAnsi="Times New Roman" w:cs="Times New Roman"/>
        </w:rPr>
        <w:t>jutiklinių</w:t>
      </w:r>
      <w:proofErr w:type="spellEnd"/>
      <w:r>
        <w:rPr>
          <w:rFonts w:ascii="Times New Roman" w:hAnsi="Times New Roman" w:cs="Times New Roman"/>
        </w:rPr>
        <w:t xml:space="preserve"> ekranų valdymui, bet ir užtikrina maksimalią ginklo kontrolę. </w:t>
      </w:r>
    </w:p>
    <w:p w14:paraId="6ED84C29" w14:textId="77777777" w:rsidR="00714C1B" w:rsidRDefault="00581532" w:rsidP="00CA2823">
      <w:pPr>
        <w:jc w:val="both"/>
        <w:rPr>
          <w:rFonts w:ascii="Times New Roman" w:hAnsi="Times New Roman" w:cs="Times New Roman"/>
        </w:rPr>
      </w:pPr>
      <w:r>
        <w:rPr>
          <w:rFonts w:ascii="Times New Roman" w:hAnsi="Times New Roman" w:cs="Times New Roman"/>
        </w:rPr>
        <w:t xml:space="preserve">6. Dėl krumplių apsaugos: </w:t>
      </w:r>
      <w:r w:rsidR="00714C1B">
        <w:rPr>
          <w:rFonts w:ascii="Times New Roman" w:hAnsi="Times New Roman" w:cs="Times New Roman"/>
        </w:rPr>
        <w:t xml:space="preserve">Krumplių apsaugos pavyzdys pateiktas paveiksle.    </w:t>
      </w:r>
    </w:p>
    <w:p w14:paraId="197030AE" w14:textId="0D0AB542" w:rsidR="00581532" w:rsidRDefault="00714C1B" w:rsidP="00CA2823">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drawing>
          <wp:inline distT="0" distB="0" distL="0" distR="0" wp14:anchorId="341D6FB8" wp14:editId="7A5754E2">
            <wp:extent cx="2275819" cy="1247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325504" cy="1274622"/>
                    </a:xfrm>
                    <a:prstGeom prst="rect">
                      <a:avLst/>
                    </a:prstGeom>
                  </pic:spPr>
                </pic:pic>
              </a:graphicData>
            </a:graphic>
          </wp:inline>
        </w:drawing>
      </w:r>
    </w:p>
    <w:p w14:paraId="690D10E3" w14:textId="53068E1F" w:rsidR="00714C1B" w:rsidRPr="00CA2823" w:rsidRDefault="00714C1B" w:rsidP="00725B18">
      <w:pPr>
        <w:ind w:firstLine="510"/>
        <w:jc w:val="both"/>
        <w:rPr>
          <w:rFonts w:ascii="Times New Roman" w:hAnsi="Times New Roman" w:cs="Times New Roman"/>
        </w:rPr>
      </w:pPr>
      <w:r>
        <w:rPr>
          <w:rFonts w:ascii="Times New Roman" w:hAnsi="Times New Roman" w:cs="Times New Roman"/>
        </w:rPr>
        <w:t xml:space="preserve">Į kitus Jūsų pasiūlymus atsižvelgsime patikslindami techninę specifikaciją. </w:t>
      </w:r>
    </w:p>
    <w:sectPr w:rsidR="00714C1B" w:rsidRPr="00CA2823" w:rsidSect="00CA2823">
      <w:pgSz w:w="11906" w:h="16838"/>
      <w:pgMar w:top="1701" w:right="1701"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23"/>
    <w:rsid w:val="00035A1D"/>
    <w:rsid w:val="000378F5"/>
    <w:rsid w:val="0040492F"/>
    <w:rsid w:val="00581532"/>
    <w:rsid w:val="005C5B1F"/>
    <w:rsid w:val="0066630F"/>
    <w:rsid w:val="006F4F4A"/>
    <w:rsid w:val="00714C1B"/>
    <w:rsid w:val="00725B18"/>
    <w:rsid w:val="0089402B"/>
    <w:rsid w:val="009F7E9F"/>
    <w:rsid w:val="00CA2823"/>
    <w:rsid w:val="00EA0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C80C"/>
  <w15:chartTrackingRefBased/>
  <w15:docId w15:val="{874287E8-F7C0-4739-8E53-ABF91EF8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823"/>
    <w:rPr>
      <w:rFonts w:eastAsiaTheme="majorEastAsia" w:cstheme="majorBidi"/>
      <w:color w:val="272727" w:themeColor="text1" w:themeTint="D8"/>
    </w:rPr>
  </w:style>
  <w:style w:type="paragraph" w:styleId="Title">
    <w:name w:val="Title"/>
    <w:basedOn w:val="Normal"/>
    <w:next w:val="Normal"/>
    <w:link w:val="TitleChar"/>
    <w:uiPriority w:val="10"/>
    <w:qFormat/>
    <w:rsid w:val="00CA2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823"/>
    <w:pPr>
      <w:spacing w:before="160"/>
      <w:jc w:val="center"/>
    </w:pPr>
    <w:rPr>
      <w:i/>
      <w:iCs/>
      <w:color w:val="404040" w:themeColor="text1" w:themeTint="BF"/>
    </w:rPr>
  </w:style>
  <w:style w:type="character" w:customStyle="1" w:styleId="QuoteChar">
    <w:name w:val="Quote Char"/>
    <w:basedOn w:val="DefaultParagraphFont"/>
    <w:link w:val="Quote"/>
    <w:uiPriority w:val="29"/>
    <w:rsid w:val="00CA2823"/>
    <w:rPr>
      <w:i/>
      <w:iCs/>
      <w:color w:val="404040" w:themeColor="text1" w:themeTint="BF"/>
    </w:rPr>
  </w:style>
  <w:style w:type="paragraph" w:styleId="ListParagraph">
    <w:name w:val="List Paragraph"/>
    <w:basedOn w:val="Normal"/>
    <w:uiPriority w:val="34"/>
    <w:qFormat/>
    <w:rsid w:val="00CA2823"/>
    <w:pPr>
      <w:ind w:left="720"/>
      <w:contextualSpacing/>
    </w:pPr>
  </w:style>
  <w:style w:type="character" w:styleId="IntenseEmphasis">
    <w:name w:val="Intense Emphasis"/>
    <w:basedOn w:val="DefaultParagraphFont"/>
    <w:uiPriority w:val="21"/>
    <w:qFormat/>
    <w:rsid w:val="00CA2823"/>
    <w:rPr>
      <w:i/>
      <w:iCs/>
      <w:color w:val="0F4761" w:themeColor="accent1" w:themeShade="BF"/>
    </w:rPr>
  </w:style>
  <w:style w:type="paragraph" w:styleId="IntenseQuote">
    <w:name w:val="Intense Quote"/>
    <w:basedOn w:val="Normal"/>
    <w:next w:val="Normal"/>
    <w:link w:val="IntenseQuoteChar"/>
    <w:uiPriority w:val="30"/>
    <w:qFormat/>
    <w:rsid w:val="00CA2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823"/>
    <w:rPr>
      <w:i/>
      <w:iCs/>
      <w:color w:val="0F4761" w:themeColor="accent1" w:themeShade="BF"/>
    </w:rPr>
  </w:style>
  <w:style w:type="character" w:styleId="IntenseReference">
    <w:name w:val="Intense Reference"/>
    <w:basedOn w:val="DefaultParagraphFont"/>
    <w:uiPriority w:val="32"/>
    <w:qFormat/>
    <w:rsid w:val="00CA28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1350</Words>
  <Characters>770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Timofejeva</dc:creator>
  <cp:keywords/>
  <dc:description/>
  <cp:lastModifiedBy>Monika Timofejeva</cp:lastModifiedBy>
  <cp:revision>4</cp:revision>
  <dcterms:created xsi:type="dcterms:W3CDTF">2026-03-05T13:16:00Z</dcterms:created>
  <dcterms:modified xsi:type="dcterms:W3CDTF">2026-03-06T06:17:00Z</dcterms:modified>
</cp:coreProperties>
</file>