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97648" w14:textId="20A2A4FF" w:rsidR="00D648B6" w:rsidRDefault="00006BEC" w:rsidP="00D648B6">
      <w:pPr>
        <w:spacing w:before="100" w:beforeAutospacing="1"/>
        <w:ind w:left="1440"/>
        <w:jc w:val="right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Sutarties</w:t>
      </w:r>
      <w:bookmarkStart w:id="0" w:name="_GoBack"/>
      <w:bookmarkEnd w:id="0"/>
      <w:r w:rsidR="00D648B6" w:rsidRPr="005338A6">
        <w:rPr>
          <w:bCs/>
          <w:szCs w:val="24"/>
          <w:lang w:eastAsia="lt-LT"/>
        </w:rPr>
        <w:t xml:space="preserve"> 1 priedas </w:t>
      </w:r>
    </w:p>
    <w:p w14:paraId="1FEB7436" w14:textId="77777777" w:rsidR="00D648B6" w:rsidRPr="005338A6" w:rsidRDefault="00D648B6" w:rsidP="00D648B6">
      <w:pPr>
        <w:spacing w:before="100" w:beforeAutospacing="1"/>
        <w:ind w:left="1440"/>
        <w:jc w:val="right"/>
        <w:rPr>
          <w:bCs/>
          <w:szCs w:val="24"/>
          <w:lang w:eastAsia="lt-LT"/>
        </w:rPr>
      </w:pPr>
    </w:p>
    <w:p w14:paraId="26D5FD1B" w14:textId="77777777" w:rsidR="00D648B6" w:rsidRDefault="00D648B6" w:rsidP="00D648B6">
      <w:pPr>
        <w:jc w:val="center"/>
        <w:rPr>
          <w:b/>
          <w:bCs/>
          <w:color w:val="000000"/>
          <w:szCs w:val="24"/>
          <w:shd w:val="clear" w:color="auto" w:fill="FFFFFF"/>
          <w:lang w:eastAsia="lt-LT"/>
        </w:rPr>
      </w:pPr>
      <w:r w:rsidRPr="00FA0643">
        <w:rPr>
          <w:b/>
          <w:bCs/>
          <w:caps/>
          <w:color w:val="000000"/>
          <w:szCs w:val="24"/>
          <w:lang w:eastAsia="lt-LT"/>
        </w:rPr>
        <w:t>Viešųjų pirkimų planavimo ir vykdymo programinės įrangos "Ecocost" pirkimų vykdymo modulio ir konkurencinio prisijungimo licencijų</w:t>
      </w:r>
      <w:r w:rsidRPr="00B346E3"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PRATĘSIMO/</w:t>
      </w:r>
      <w:r w:rsidRPr="005338A6">
        <w:rPr>
          <w:b/>
          <w:bCs/>
          <w:color w:val="000000"/>
          <w:szCs w:val="24"/>
          <w:lang w:eastAsia="lt-LT"/>
        </w:rPr>
        <w:t xml:space="preserve">PALAIKYMO </w:t>
      </w:r>
      <w:r w:rsidRPr="005338A6">
        <w:rPr>
          <w:b/>
          <w:bCs/>
          <w:color w:val="000000"/>
          <w:szCs w:val="24"/>
          <w:shd w:val="clear" w:color="auto" w:fill="FFFFFF"/>
          <w:lang w:eastAsia="lt-LT"/>
        </w:rPr>
        <w:t xml:space="preserve">PASLAUGOS TECHNINĖ SPECIFIKACIJA </w:t>
      </w:r>
    </w:p>
    <w:p w14:paraId="7A5BC534" w14:textId="77777777" w:rsidR="00D648B6" w:rsidRPr="005338A6" w:rsidRDefault="00D648B6" w:rsidP="00D648B6">
      <w:pPr>
        <w:jc w:val="center"/>
        <w:rPr>
          <w:color w:val="000000"/>
          <w:szCs w:val="24"/>
          <w:lang w:eastAsia="lt-LT"/>
        </w:rPr>
      </w:pPr>
    </w:p>
    <w:p w14:paraId="2DA95846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810D03">
        <w:rPr>
          <w:color w:val="000000"/>
          <w:szCs w:val="24"/>
          <w:shd w:val="clear" w:color="auto" w:fill="FFFFFF"/>
          <w:lang w:eastAsia="lt-LT"/>
        </w:rPr>
        <w:t>Viešųjų pirkimų planavimo ir vykdymo programinės įrangos "</w:t>
      </w:r>
      <w:proofErr w:type="spellStart"/>
      <w:r w:rsidRPr="00810D03">
        <w:rPr>
          <w:color w:val="000000"/>
          <w:szCs w:val="24"/>
          <w:shd w:val="clear" w:color="auto" w:fill="FFFFFF"/>
          <w:lang w:eastAsia="lt-LT"/>
        </w:rPr>
        <w:t>Ecocost</w:t>
      </w:r>
      <w:proofErr w:type="spellEnd"/>
      <w:r w:rsidRPr="00810D03">
        <w:rPr>
          <w:color w:val="000000"/>
          <w:szCs w:val="24"/>
          <w:shd w:val="clear" w:color="auto" w:fill="FFFFFF"/>
          <w:lang w:eastAsia="lt-LT"/>
        </w:rPr>
        <w:t xml:space="preserve">" </w:t>
      </w:r>
      <w:r>
        <w:rPr>
          <w:color w:val="000000"/>
          <w:szCs w:val="24"/>
          <w:shd w:val="clear" w:color="auto" w:fill="FFFFFF"/>
          <w:lang w:eastAsia="lt-LT"/>
        </w:rPr>
        <w:t xml:space="preserve">(toliau programinė įranga) </w:t>
      </w:r>
      <w:r w:rsidRPr="00810D03">
        <w:rPr>
          <w:color w:val="000000"/>
          <w:szCs w:val="24"/>
          <w:shd w:val="clear" w:color="auto" w:fill="FFFFFF"/>
          <w:lang w:eastAsia="lt-LT"/>
        </w:rPr>
        <w:t xml:space="preserve">pirkimų vykdymo modulio ir konkurencinio prisijungimo licencijų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(toliau – </w:t>
      </w:r>
      <w:r>
        <w:rPr>
          <w:color w:val="000000"/>
          <w:szCs w:val="24"/>
          <w:shd w:val="clear" w:color="auto" w:fill="FFFFFF"/>
          <w:lang w:eastAsia="lt-LT"/>
        </w:rPr>
        <w:t>licencijos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) </w:t>
      </w:r>
      <w:r>
        <w:rPr>
          <w:color w:val="000000"/>
          <w:szCs w:val="24"/>
          <w:shd w:val="clear" w:color="auto" w:fill="FFFFFF"/>
          <w:lang w:eastAsia="lt-LT"/>
        </w:rPr>
        <w:t xml:space="preserve">pratęsimo ir </w:t>
      </w:r>
      <w:r w:rsidRPr="005338A6">
        <w:rPr>
          <w:color w:val="000000"/>
          <w:szCs w:val="24"/>
          <w:shd w:val="clear" w:color="auto" w:fill="FFFFFF"/>
          <w:lang w:eastAsia="lt-LT"/>
        </w:rPr>
        <w:t>palaikymo paslaug</w:t>
      </w:r>
      <w:r>
        <w:rPr>
          <w:color w:val="000000"/>
          <w:szCs w:val="24"/>
          <w:shd w:val="clear" w:color="auto" w:fill="FFFFFF"/>
          <w:lang w:eastAsia="lt-LT"/>
        </w:rPr>
        <w:t>os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 12 mėnesių </w:t>
      </w:r>
      <w:r>
        <w:rPr>
          <w:color w:val="000000"/>
          <w:szCs w:val="24"/>
          <w:shd w:val="clear" w:color="auto" w:fill="FFFFFF"/>
          <w:lang w:eastAsia="lt-LT"/>
        </w:rPr>
        <w:t>apima</w:t>
      </w:r>
      <w:r w:rsidRPr="005338A6">
        <w:rPr>
          <w:color w:val="000000"/>
          <w:szCs w:val="24"/>
          <w:shd w:val="clear" w:color="auto" w:fill="FFFFFF"/>
          <w:lang w:eastAsia="lt-LT"/>
        </w:rPr>
        <w:t>:</w:t>
      </w:r>
    </w:p>
    <w:p w14:paraId="54AC3CFC" w14:textId="77777777" w:rsidR="00D648B6" w:rsidRPr="00CF1D2A" w:rsidRDefault="00D648B6" w:rsidP="00D648B6">
      <w:pPr>
        <w:ind w:right="40" w:firstLine="851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Nenutrūkstantį programinės įrangos </w:t>
      </w:r>
      <w:proofErr w:type="spellStart"/>
      <w:r w:rsidRPr="00CF1D2A">
        <w:rPr>
          <w:color w:val="000000"/>
          <w:szCs w:val="24"/>
          <w:shd w:val="clear" w:color="auto" w:fill="FFFFFF"/>
          <w:lang w:eastAsia="lt-LT"/>
        </w:rPr>
        <w:t>funkcionalumų</w:t>
      </w:r>
      <w:proofErr w:type="spellEnd"/>
      <w:r w:rsidRPr="00CF1D2A">
        <w:rPr>
          <w:color w:val="000000"/>
          <w:szCs w:val="24"/>
          <w:shd w:val="clear" w:color="auto" w:fill="FFFFFF"/>
          <w:lang w:eastAsia="lt-LT"/>
        </w:rPr>
        <w:t xml:space="preserve"> (žr. </w:t>
      </w:r>
      <w:r w:rsidRPr="00661CC4">
        <w:rPr>
          <w:sz w:val="22"/>
          <w:szCs w:val="22"/>
          <w:lang w:eastAsia="ar-SA"/>
        </w:rPr>
        <w:t xml:space="preserve">Viešųjų pirkimų vykdymo modulio </w:t>
      </w:r>
      <w:r w:rsidRPr="00CF1D2A">
        <w:rPr>
          <w:color w:val="000000"/>
          <w:szCs w:val="24"/>
          <w:shd w:val="clear" w:color="auto" w:fill="FFFFFF"/>
          <w:lang w:eastAsia="lt-LT"/>
        </w:rPr>
        <w:t>aprašymą) veikimo palaikymą ir veikimo sutrikimų šalinimą;</w:t>
      </w:r>
    </w:p>
    <w:p w14:paraId="6EAC7B4B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Konsultacijų ir p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agalbos </w:t>
      </w:r>
      <w:r>
        <w:rPr>
          <w:color w:val="000000"/>
          <w:szCs w:val="24"/>
          <w:shd w:val="clear" w:color="auto" w:fill="FFFFFF"/>
          <w:lang w:eastAsia="lt-LT"/>
        </w:rPr>
        <w:t>programinės įrangos naudotojams užtikrinimą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  – teikėjas</w:t>
      </w:r>
      <w:r>
        <w:rPr>
          <w:color w:val="000000"/>
          <w:szCs w:val="24"/>
          <w:shd w:val="clear" w:color="auto" w:fill="FFFFFF"/>
          <w:lang w:eastAsia="lt-LT"/>
        </w:rPr>
        <w:t xml:space="preserve"> turi turėti paskirtus darbuotojus (ne mažiau, kaip vieną)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, </w:t>
      </w:r>
      <w:r>
        <w:rPr>
          <w:color w:val="000000"/>
          <w:szCs w:val="24"/>
          <w:shd w:val="clear" w:color="auto" w:fill="FFFFFF"/>
          <w:lang w:eastAsia="lt-LT"/>
        </w:rPr>
        <w:t xml:space="preserve">kurie konsultuos,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teiks </w:t>
      </w:r>
      <w:r>
        <w:rPr>
          <w:color w:val="000000"/>
          <w:szCs w:val="24"/>
          <w:shd w:val="clear" w:color="auto" w:fill="FFFFFF"/>
          <w:lang w:eastAsia="lt-LT"/>
        </w:rPr>
        <w:t xml:space="preserve">metodinę ir </w:t>
      </w:r>
      <w:r w:rsidRPr="005338A6">
        <w:rPr>
          <w:color w:val="000000"/>
          <w:szCs w:val="24"/>
          <w:shd w:val="clear" w:color="auto" w:fill="FFFFFF"/>
          <w:lang w:eastAsia="lt-LT"/>
        </w:rPr>
        <w:t>techninę pagalbą</w:t>
      </w:r>
      <w:r>
        <w:rPr>
          <w:color w:val="000000"/>
          <w:szCs w:val="24"/>
          <w:shd w:val="clear" w:color="auto" w:fill="FFFFFF"/>
          <w:lang w:eastAsia="lt-LT"/>
        </w:rPr>
        <w:t xml:space="preserve"> elektroniniu paštu ir telefonu</w:t>
      </w:r>
      <w:r w:rsidRPr="005338A6">
        <w:rPr>
          <w:color w:val="000000"/>
          <w:szCs w:val="24"/>
          <w:shd w:val="clear" w:color="auto" w:fill="FFFFFF"/>
          <w:lang w:eastAsia="lt-LT"/>
        </w:rPr>
        <w:t>,</w:t>
      </w:r>
    </w:p>
    <w:p w14:paraId="6A02CDBA" w14:textId="6AA00002" w:rsidR="00D648B6" w:rsidRDefault="00D648B6" w:rsidP="00D648B6">
      <w:pPr>
        <w:ind w:right="40" w:firstLine="851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Programinės įrangos atnaujinimą – tiekėjas turi užtikrinti savalaikį programinės įrangos atnaujinimą</w:t>
      </w:r>
      <w:r w:rsidR="003A5F4C">
        <w:rPr>
          <w:color w:val="000000"/>
          <w:szCs w:val="24"/>
          <w:shd w:val="clear" w:color="auto" w:fill="FFFFFF"/>
          <w:lang w:eastAsia="lt-LT"/>
        </w:rPr>
        <w:t>.</w:t>
      </w:r>
    </w:p>
    <w:p w14:paraId="46BB62DE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b/>
          <w:bCs/>
          <w:color w:val="000000"/>
          <w:szCs w:val="24"/>
          <w:shd w:val="clear" w:color="auto" w:fill="FFFFFF"/>
          <w:lang w:eastAsia="lt-LT"/>
        </w:rPr>
        <w:t>Funkcionalumo palaikymas:</w:t>
      </w:r>
    </w:p>
    <w:p w14:paraId="1DCCA89B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 xml:space="preserve">Teikėjas suteikia </w:t>
      </w:r>
      <w:r>
        <w:rPr>
          <w:color w:val="000000"/>
          <w:szCs w:val="24"/>
          <w:shd w:val="clear" w:color="auto" w:fill="FFFFFF"/>
          <w:lang w:eastAsia="lt-LT"/>
        </w:rPr>
        <w:t>programinės į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rangos </w:t>
      </w:r>
      <w:proofErr w:type="spellStart"/>
      <w:r w:rsidRPr="005338A6">
        <w:rPr>
          <w:color w:val="000000"/>
          <w:szCs w:val="24"/>
          <w:shd w:val="clear" w:color="auto" w:fill="FFFFFF"/>
          <w:lang w:eastAsia="lt-LT"/>
        </w:rPr>
        <w:t>funkcionalum</w:t>
      </w:r>
      <w:r>
        <w:rPr>
          <w:color w:val="000000"/>
          <w:szCs w:val="24"/>
          <w:shd w:val="clear" w:color="auto" w:fill="FFFFFF"/>
          <w:lang w:eastAsia="lt-LT"/>
        </w:rPr>
        <w:t>ų</w:t>
      </w:r>
      <w:proofErr w:type="spellEnd"/>
      <w:r w:rsidRPr="005338A6">
        <w:rPr>
          <w:color w:val="000000"/>
          <w:szCs w:val="24"/>
          <w:shd w:val="clear" w:color="auto" w:fill="FFFFFF"/>
          <w:lang w:eastAsia="lt-LT"/>
        </w:rPr>
        <w:t xml:space="preserve"> nenutrūkstamo veikimo palaikymą</w:t>
      </w:r>
      <w:r>
        <w:rPr>
          <w:color w:val="000000"/>
          <w:szCs w:val="24"/>
          <w:shd w:val="clear" w:color="auto" w:fill="FFFFFF"/>
          <w:lang w:eastAsia="lt-LT"/>
        </w:rPr>
        <w:t>.</w:t>
      </w:r>
    </w:p>
    <w:p w14:paraId="4F6D0080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>Teikėjas atkuria funkcionalumą gedimų atveju.</w:t>
      </w:r>
    </w:p>
    <w:p w14:paraId="23B8FF33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 xml:space="preserve">Įrangos funkcionalumo palaikymas teikiamas visą </w:t>
      </w:r>
      <w:r>
        <w:rPr>
          <w:color w:val="000000"/>
          <w:szCs w:val="24"/>
          <w:shd w:val="clear" w:color="auto" w:fill="FFFFFF"/>
          <w:lang w:eastAsia="lt-LT"/>
        </w:rPr>
        <w:t>sutarties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 laikotarpį. </w:t>
      </w:r>
    </w:p>
    <w:p w14:paraId="0B23130F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b/>
          <w:bCs/>
          <w:color w:val="000000"/>
          <w:szCs w:val="24"/>
          <w:shd w:val="clear" w:color="auto" w:fill="FFFFFF"/>
          <w:lang w:eastAsia="lt-LT"/>
        </w:rPr>
        <w:t>Pagalbos tarnybos sistema:</w:t>
      </w:r>
    </w:p>
    <w:p w14:paraId="5B9EDD85" w14:textId="77777777" w:rsidR="00D648B6" w:rsidRPr="00EC5A33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EC5A33">
        <w:rPr>
          <w:color w:val="000000"/>
          <w:szCs w:val="24"/>
          <w:shd w:val="clear" w:color="auto" w:fill="FFFFFF"/>
          <w:lang w:eastAsia="lt-LT"/>
        </w:rPr>
        <w:t>Pranešimai teikėjui gali būti perduodami telefonu arba el. paštu. Pranešimų registravimas Pagalbos tarnybos sistemoje turi veikti darbo dienomis 8 val. per parą (5 × 8) (žr. 3.6.2 p.) kuo greičiau būtų reaguojama į pranešimus, siekiant išspręsti problemas.</w:t>
      </w:r>
    </w:p>
    <w:p w14:paraId="78A5248F" w14:textId="77777777" w:rsidR="00D648B6" w:rsidRPr="00EC5A33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EC5A33">
        <w:rPr>
          <w:color w:val="000000"/>
          <w:szCs w:val="24"/>
          <w:shd w:val="clear" w:color="auto" w:fill="FFFFFF"/>
          <w:lang w:eastAsia="lt-LT"/>
        </w:rPr>
        <w:t xml:space="preserve">Teikėjo Pagalbos personalo techniniai specialistai turi būti kvalifikuoti ir turėti darbo patirties užtikrinant įrangos stabilumą ir kasdienį darbą. </w:t>
      </w:r>
    </w:p>
    <w:p w14:paraId="72787BB4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EC5A33">
        <w:rPr>
          <w:color w:val="000000"/>
          <w:szCs w:val="24"/>
          <w:shd w:val="clear" w:color="auto" w:fill="FFFFFF"/>
          <w:lang w:eastAsia="lt-LT"/>
        </w:rPr>
        <w:t>Teikėjas turi pašalinti Programos veikimo sutrikimus, gedimus, ištaisyti Programos generuojamas klaidas ne vėliau kaip per 2 darbo dienas nuo pranešimo gavimo dienos.</w:t>
      </w:r>
      <w:r>
        <w:rPr>
          <w:color w:val="000000"/>
          <w:szCs w:val="24"/>
          <w:shd w:val="clear" w:color="auto" w:fill="FFFFFF"/>
          <w:lang w:eastAsia="lt-LT"/>
        </w:rPr>
        <w:t xml:space="preserve"> Apie sutrikimo pašalinimą asmuo, pateikęs prašymą, informuojamas el. paštu arba telefonu (jei pranešimas buvo pateiktas telefonu). </w:t>
      </w:r>
    </w:p>
    <w:p w14:paraId="132EAF0A" w14:textId="77777777" w:rsidR="00D648B6" w:rsidRPr="00EC5A33" w:rsidRDefault="00D648B6" w:rsidP="00D648B6">
      <w:pPr>
        <w:ind w:right="40" w:firstLine="851"/>
        <w:jc w:val="both"/>
        <w:rPr>
          <w:b/>
          <w:bCs/>
          <w:color w:val="000000"/>
          <w:szCs w:val="24"/>
          <w:shd w:val="clear" w:color="auto" w:fill="FFFFFF"/>
          <w:lang w:eastAsia="lt-LT"/>
        </w:rPr>
      </w:pPr>
      <w:r>
        <w:rPr>
          <w:b/>
          <w:bCs/>
          <w:color w:val="000000"/>
          <w:szCs w:val="24"/>
          <w:shd w:val="clear" w:color="auto" w:fill="FFFFFF"/>
          <w:lang w:eastAsia="lt-LT"/>
        </w:rPr>
        <w:t>Sutrikimų šalinimas</w:t>
      </w:r>
      <w:r w:rsidRPr="005338A6">
        <w:rPr>
          <w:b/>
          <w:bCs/>
          <w:color w:val="000000"/>
          <w:szCs w:val="24"/>
          <w:shd w:val="clear" w:color="auto" w:fill="FFFFFF"/>
          <w:lang w:eastAsia="lt-LT"/>
        </w:rPr>
        <w:t>:</w:t>
      </w:r>
    </w:p>
    <w:p w14:paraId="00FDD5D9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Sutarties galiojimo laikotarpiu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Teikėjas atsako už </w:t>
      </w:r>
      <w:r>
        <w:rPr>
          <w:color w:val="000000"/>
          <w:szCs w:val="24"/>
          <w:shd w:val="clear" w:color="auto" w:fill="FFFFFF"/>
          <w:lang w:eastAsia="lt-LT"/>
        </w:rPr>
        <w:t>Programinės į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rangos </w:t>
      </w:r>
      <w:r>
        <w:rPr>
          <w:color w:val="000000"/>
          <w:szCs w:val="24"/>
          <w:shd w:val="clear" w:color="auto" w:fill="FFFFFF"/>
          <w:lang w:eastAsia="lt-LT"/>
        </w:rPr>
        <w:t>veikimo sutrikimų (gedimų, klaidų ar kitų problemų) šalinimą</w:t>
      </w:r>
      <w:r w:rsidRPr="005338A6">
        <w:rPr>
          <w:color w:val="000000"/>
          <w:szCs w:val="24"/>
          <w:shd w:val="clear" w:color="auto" w:fill="FFFFFF"/>
          <w:lang w:eastAsia="lt-LT"/>
        </w:rPr>
        <w:t>.</w:t>
      </w:r>
    </w:p>
    <w:p w14:paraId="250196B0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 xml:space="preserve">Teikėjas turi sugebėti sutvarkyti visas </w:t>
      </w:r>
      <w:r>
        <w:rPr>
          <w:color w:val="000000"/>
          <w:szCs w:val="24"/>
          <w:shd w:val="clear" w:color="auto" w:fill="FFFFFF"/>
          <w:lang w:eastAsia="lt-LT"/>
        </w:rPr>
        <w:t>Programinės į</w:t>
      </w:r>
      <w:r w:rsidRPr="005338A6">
        <w:rPr>
          <w:color w:val="000000"/>
          <w:szCs w:val="24"/>
          <w:shd w:val="clear" w:color="auto" w:fill="FFFFFF"/>
          <w:lang w:eastAsia="lt-LT"/>
        </w:rPr>
        <w:t>rangos problemas įvairių sutrikimų atvejais.</w:t>
      </w:r>
    </w:p>
    <w:p w14:paraId="48FEA1E6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Programinės į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rangos </w:t>
      </w:r>
      <w:r>
        <w:rPr>
          <w:color w:val="000000"/>
          <w:szCs w:val="24"/>
          <w:shd w:val="clear" w:color="auto" w:fill="FFFFFF"/>
          <w:lang w:eastAsia="lt-LT"/>
        </w:rPr>
        <w:t xml:space="preserve">sutrikimų šalinimas, kuris reikalauja Programinės įrangos perdiegimo,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turi būti atliekamas </w:t>
      </w:r>
      <w:r>
        <w:rPr>
          <w:color w:val="000000"/>
          <w:szCs w:val="24"/>
          <w:shd w:val="clear" w:color="auto" w:fill="FFFFFF"/>
          <w:lang w:eastAsia="lt-LT"/>
        </w:rPr>
        <w:t xml:space="preserve">ne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darbo </w:t>
      </w:r>
      <w:r>
        <w:rPr>
          <w:color w:val="000000"/>
          <w:szCs w:val="24"/>
          <w:shd w:val="clear" w:color="auto" w:fill="FFFFFF"/>
          <w:lang w:eastAsia="lt-LT"/>
        </w:rPr>
        <w:t xml:space="preserve">valandomis, darbo dienomis po 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 17:00 val.</w:t>
      </w:r>
      <w:r>
        <w:rPr>
          <w:color w:val="000000"/>
          <w:szCs w:val="24"/>
          <w:shd w:val="clear" w:color="auto" w:fill="FFFFFF"/>
          <w:lang w:eastAsia="lt-LT"/>
        </w:rPr>
        <w:t xml:space="preserve"> </w:t>
      </w:r>
      <w:r w:rsidRPr="005338A6">
        <w:rPr>
          <w:color w:val="000000"/>
          <w:szCs w:val="24"/>
          <w:shd w:val="clear" w:color="auto" w:fill="FFFFFF"/>
          <w:lang w:eastAsia="lt-LT"/>
        </w:rPr>
        <w:t>(Lietuvos Respublikos laikas)</w:t>
      </w:r>
      <w:r>
        <w:rPr>
          <w:color w:val="000000"/>
          <w:szCs w:val="24"/>
          <w:shd w:val="clear" w:color="auto" w:fill="FFFFFF"/>
          <w:lang w:eastAsia="lt-LT"/>
        </w:rPr>
        <w:t xml:space="preserve"> arba me darbo dienomis</w:t>
      </w:r>
      <w:r w:rsidRPr="005338A6">
        <w:rPr>
          <w:color w:val="000000"/>
          <w:szCs w:val="24"/>
          <w:shd w:val="clear" w:color="auto" w:fill="FFFFFF"/>
          <w:lang w:eastAsia="lt-LT"/>
        </w:rPr>
        <w:t>.</w:t>
      </w:r>
      <w:r>
        <w:rPr>
          <w:color w:val="000000"/>
          <w:szCs w:val="24"/>
          <w:shd w:val="clear" w:color="auto" w:fill="FFFFFF"/>
          <w:lang w:eastAsia="lt-LT"/>
        </w:rPr>
        <w:t xml:space="preserve"> Jei dėl pateisinamų priežasčių Programinė įranga turi būti perdiegta darbo metu, programos naudotojai turi būti ne vėliau, kaip prieš 1 d. d. įspėti el. paštu apie numatomą Programinės įrangos perdiegimo laiką, priežastis ir siekiamą rezultatą bei galimas pasekmes.</w:t>
      </w:r>
    </w:p>
    <w:p w14:paraId="6B95D03A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 xml:space="preserve">Teikėjas turi </w:t>
      </w:r>
      <w:r>
        <w:rPr>
          <w:color w:val="000000"/>
          <w:szCs w:val="24"/>
          <w:shd w:val="clear" w:color="auto" w:fill="FFFFFF"/>
          <w:lang w:eastAsia="lt-LT"/>
        </w:rPr>
        <w:t>programos veikimo sutrikimą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 pašalinti ne vėliau kaip per 2 darbo dienas, atskirais atvejais, jei </w:t>
      </w:r>
      <w:r>
        <w:rPr>
          <w:color w:val="000000"/>
          <w:szCs w:val="24"/>
          <w:shd w:val="clear" w:color="auto" w:fill="FFFFFF"/>
          <w:lang w:eastAsia="lt-LT"/>
        </w:rPr>
        <w:t>sutrikimų pašalinimui būtinas sistemos perdiegimas</w:t>
      </w:r>
      <w:r w:rsidRPr="005338A6">
        <w:rPr>
          <w:color w:val="000000"/>
          <w:szCs w:val="24"/>
          <w:shd w:val="clear" w:color="auto" w:fill="FFFFFF"/>
          <w:lang w:eastAsia="lt-LT"/>
        </w:rPr>
        <w:t xml:space="preserve">, – ne vėliau kaip per </w:t>
      </w:r>
      <w:r>
        <w:rPr>
          <w:color w:val="000000"/>
          <w:szCs w:val="24"/>
          <w:shd w:val="clear" w:color="auto" w:fill="FFFFFF"/>
          <w:lang w:eastAsia="lt-LT"/>
        </w:rPr>
        <w:t>1</w:t>
      </w:r>
      <w:r w:rsidRPr="005338A6">
        <w:rPr>
          <w:color w:val="000000"/>
          <w:szCs w:val="24"/>
          <w:shd w:val="clear" w:color="auto" w:fill="FFFFFF"/>
          <w:lang w:eastAsia="lt-LT"/>
        </w:rPr>
        <w:t>0 darbo dienų. Gedimų pagreitinimui teikėjui leidžiama keisti sugedusį Įrangos elementą į tokį patį veikiantį.</w:t>
      </w:r>
    </w:p>
    <w:p w14:paraId="6D623728" w14:textId="77777777" w:rsidR="00D648B6" w:rsidRPr="005338A6" w:rsidRDefault="00D648B6" w:rsidP="00D648B6">
      <w:pPr>
        <w:ind w:right="40" w:firstLine="851"/>
        <w:jc w:val="both"/>
        <w:rPr>
          <w:color w:val="000000"/>
          <w:szCs w:val="24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>Jeigu būtina atvykti į vietą, turi būti praneštas atvykimo laikas.</w:t>
      </w:r>
    </w:p>
    <w:p w14:paraId="6BEADD8F" w14:textId="77777777" w:rsidR="00D648B6" w:rsidRDefault="00D648B6" w:rsidP="00D648B6">
      <w:pPr>
        <w:ind w:right="40" w:firstLine="851"/>
        <w:jc w:val="both"/>
        <w:rPr>
          <w:color w:val="000000"/>
          <w:szCs w:val="24"/>
          <w:shd w:val="clear" w:color="auto" w:fill="FFFFFF"/>
          <w:lang w:eastAsia="lt-LT"/>
        </w:rPr>
      </w:pPr>
      <w:r w:rsidRPr="005338A6">
        <w:rPr>
          <w:color w:val="000000"/>
          <w:szCs w:val="24"/>
          <w:shd w:val="clear" w:color="auto" w:fill="FFFFFF"/>
          <w:lang w:eastAsia="lt-LT"/>
        </w:rPr>
        <w:t xml:space="preserve">Šalinant sutrikimą </w:t>
      </w:r>
      <w:r>
        <w:rPr>
          <w:color w:val="000000"/>
          <w:szCs w:val="24"/>
          <w:shd w:val="clear" w:color="auto" w:fill="FFFFFF"/>
          <w:lang w:eastAsia="lt-LT"/>
        </w:rPr>
        <w:t>Programinės į</w:t>
      </w:r>
      <w:r w:rsidRPr="005338A6">
        <w:rPr>
          <w:color w:val="000000"/>
          <w:szCs w:val="24"/>
          <w:shd w:val="clear" w:color="auto" w:fill="FFFFFF"/>
          <w:lang w:eastAsia="lt-LT"/>
        </w:rPr>
        <w:t>rangos naudotojai turi būti informuojami apie atliekamus darbus.</w:t>
      </w:r>
    </w:p>
    <w:p w14:paraId="2C42A3AC" w14:textId="77777777" w:rsidR="00D648B6" w:rsidRPr="00661CC4" w:rsidRDefault="00D648B6" w:rsidP="00D648B6">
      <w:pPr>
        <w:jc w:val="center"/>
        <w:rPr>
          <w:b/>
          <w:sz w:val="22"/>
          <w:szCs w:val="22"/>
          <w:lang w:eastAsia="ar-SA"/>
        </w:rPr>
      </w:pPr>
      <w:r w:rsidRPr="005338A6">
        <w:rPr>
          <w:b/>
          <w:szCs w:val="24"/>
        </w:rPr>
        <w:br w:type="page"/>
      </w:r>
    </w:p>
    <w:p w14:paraId="138DC68B" w14:textId="77777777" w:rsidR="00D648B6" w:rsidRPr="00661CC4" w:rsidRDefault="00D648B6" w:rsidP="00D648B6">
      <w:pPr>
        <w:suppressAutoHyphens/>
        <w:jc w:val="center"/>
        <w:rPr>
          <w:b/>
          <w:sz w:val="22"/>
          <w:szCs w:val="22"/>
          <w:lang w:eastAsia="ar-SA"/>
        </w:rPr>
      </w:pPr>
      <w:r w:rsidRPr="00661CC4">
        <w:rPr>
          <w:b/>
          <w:sz w:val="22"/>
          <w:szCs w:val="22"/>
          <w:lang w:eastAsia="ar-SA"/>
        </w:rPr>
        <w:lastRenderedPageBreak/>
        <w:t>Viešųjų pirkimų vykdymo modulio aprašymas</w:t>
      </w:r>
    </w:p>
    <w:tbl>
      <w:tblPr>
        <w:tblW w:w="10378" w:type="dxa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1730"/>
        <w:gridCol w:w="7938"/>
      </w:tblGrid>
      <w:tr w:rsidR="00D648B6" w:rsidRPr="00661CC4" w14:paraId="37E70BCE" w14:textId="77777777" w:rsidTr="00D34FD7">
        <w:trPr>
          <w:trHeight w:val="2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vAlign w:val="center"/>
          </w:tcPr>
          <w:p w14:paraId="410679C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3C8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Funkcionalumas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1AC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Funkcionalumo aprašymas</w:t>
            </w:r>
          </w:p>
        </w:tc>
      </w:tr>
      <w:tr w:rsidR="00D648B6" w:rsidRPr="00661CC4" w14:paraId="5A02F56D" w14:textId="77777777" w:rsidTr="00D34FD7">
        <w:trPr>
          <w:trHeight w:val="288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BCB5C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73C2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Elektroninė byla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9DB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realizuota galimybė formuoti elektroninę bylą, kurioje būtų saugomi elektroniniai dokumentai (susiję su viešojo pirkimo procedūrų vykdymu) ir jų rengimo metu sukurtos šių dokumentų elektroninės versijos. </w:t>
            </w:r>
          </w:p>
          <w:p w14:paraId="3DF0215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Elektroninė byla turi būti suskirstyta į aplankus:</w:t>
            </w:r>
          </w:p>
          <w:p w14:paraId="403C03F6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Inicijavimo dokumentai;</w:t>
            </w:r>
          </w:p>
          <w:p w14:paraId="5970C9C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dokumentai;</w:t>
            </w:r>
          </w:p>
          <w:p w14:paraId="56FA008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protokolai;</w:t>
            </w:r>
          </w:p>
          <w:p w14:paraId="4FF42DF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skelbimai;</w:t>
            </w:r>
          </w:p>
          <w:p w14:paraId="65932EA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pasiūlymai;</w:t>
            </w:r>
          </w:p>
          <w:p w14:paraId="5A725832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susirašinėjimas;</w:t>
            </w:r>
          </w:p>
          <w:p w14:paraId="6FAE5C97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pretenzijos sutartys;</w:t>
            </w:r>
          </w:p>
          <w:p w14:paraId="0F22F25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sutartys;</w:t>
            </w:r>
          </w:p>
          <w:p w14:paraId="4AB6987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kt.</w:t>
            </w:r>
          </w:p>
        </w:tc>
      </w:tr>
      <w:tr w:rsidR="00D648B6" w:rsidRPr="00661CC4" w14:paraId="3DA7BA7C" w14:textId="77777777" w:rsidTr="00D34FD7">
        <w:trPr>
          <w:trHeight w:val="88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304A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4A9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7107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įkelti į konkretaus pirkimo elektroninę bylą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ir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pdf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formato dokumentus į tam skirtas dokumento byloje vietas ir aplankus, kurioje turi būti galimybė:</w:t>
            </w:r>
          </w:p>
          <w:p w14:paraId="4A830D7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pateikti dokumentą derinimui ir pasirašymui pagal sistemoje nustatytą dokumentų derinimo schemą;</w:t>
            </w:r>
          </w:p>
          <w:p w14:paraId="20A81B4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peržiūrėti derinimo metu atsiradusius dokumentų pokyčius juos suskirstant į dokumentų versijas (kai dokumentas derinamas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formatu);</w:t>
            </w:r>
          </w:p>
          <w:p w14:paraId="6C2AF0C4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pateikti komentarus dokumentui per sistemą. Komentarą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el.paštu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turi gauti su pirkimu susiję asmenys;</w:t>
            </w:r>
          </w:p>
          <w:p w14:paraId="46639314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uždėti dokumento suderinimo žymą, nurodant derintojo vardą, pavardę, pareigas, suderinimo datą;</w:t>
            </w:r>
          </w:p>
          <w:p w14:paraId="750E341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pasirašyti dokumentą el. parašu;</w:t>
            </w:r>
          </w:p>
          <w:p w14:paraId="3CF2322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atmesti dokumentą, nurodant atmetimo priežastis;</w:t>
            </w:r>
          </w:p>
          <w:p w14:paraId="327BA2B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peržiūrėti dokumento derinimo eigą, keisti derintojus;</w:t>
            </w:r>
          </w:p>
          <w:p w14:paraId="4C1E336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atsisiųsti visus pasirašytus ir patvirtintus dokumentus el. byloje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zip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formatu.</w:t>
            </w:r>
          </w:p>
        </w:tc>
      </w:tr>
      <w:tr w:rsidR="00D648B6" w:rsidRPr="00661CC4" w14:paraId="56FB7A18" w14:textId="77777777" w:rsidTr="00760E53">
        <w:trPr>
          <w:trHeight w:val="3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16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DD0E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Dokumentų derinimas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436B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nustatyti šias dokumento derinimo/pasirašymo schemas pagal seką, kai derinimo dalyvių schemoje yra nustatoma pirmumo eilė ir sistema siunčia dokumentą nuosekliai pagal pirmumo seką.</w:t>
            </w:r>
          </w:p>
          <w:p w14:paraId="5C94BE0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Dokumento derinimo/pasirašymo dalyviai turi būti nustatomi pasirenkant konkrečius darbuotojus iš sąrašo arba nustatant, kad dalyviai – priskirta viešojo pirkimo komisija;</w:t>
            </w:r>
          </w:p>
          <w:p w14:paraId="514C37A4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Derinamo ir pasirašymo procesas turi būti nutraukiamas, kai nors vienas iš derinimo/pasirašymo dalyvių atmeta dokumentą. Šiuo atveju dokumento statusas turi būti “atmestas” ir dokumento rengėjas turi turėti galimybę koreguoti sistemoje esančią informaciją ir įkelti dokumento naują versiją į sistemą bei vėl turi galėti teikti dokumentą derinti/pasirašyti.</w:t>
            </w:r>
          </w:p>
          <w:p w14:paraId="73FF618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Derinamą dokumentą/dokumentų rinkinį turi galėti koreguoti pagal nustatytas teises tik aktyvus derintojas. </w:t>
            </w:r>
          </w:p>
          <w:p w14:paraId="274D2E7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derinti inicijavimo paraiškas bei jų priedus, pirkimo sąlygas, protokolus, apklausos pažymas, užsakymus pagal sutartis.</w:t>
            </w:r>
          </w:p>
        </w:tc>
      </w:tr>
      <w:tr w:rsidR="00D648B6" w:rsidRPr="00661CC4" w14:paraId="6CBC62F2" w14:textId="77777777" w:rsidTr="00760E53">
        <w:trPr>
          <w:trHeight w:val="6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7CAC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08E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Pirkimų  statusai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C91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sekti vykdomų pirkimų statusus, pirkimus suskirstant pagal statuso būseną:</w:t>
            </w:r>
          </w:p>
          <w:p w14:paraId="59FECB3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Inicijavimas;</w:t>
            </w:r>
          </w:p>
          <w:p w14:paraId="1EC72426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dokumentų rengimas;</w:t>
            </w:r>
          </w:p>
          <w:p w14:paraId="58C2827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Pasiūlymų gavimas;</w:t>
            </w:r>
          </w:p>
          <w:p w14:paraId="391520E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Pasiūlymų vertinimas;</w:t>
            </w:r>
          </w:p>
          <w:p w14:paraId="7A9CCEF4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Baigtas.</w:t>
            </w:r>
          </w:p>
        </w:tc>
      </w:tr>
      <w:tr w:rsidR="00D648B6" w:rsidRPr="00661CC4" w14:paraId="716D2842" w14:textId="77777777" w:rsidTr="00760E53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C4F2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C221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4FD0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vykdomi pirkimai turi būti rodomi viename lange, kiekvieną pirkimą atvaizduojant atskiroje kortelėje su pagrindiniais duomenimis apie pirkimą pagal statusus “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Kanban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>” lentos principu. Šiame lange turi būti galimybė ieškoti pirkimų pagal:</w:t>
            </w:r>
          </w:p>
          <w:p w14:paraId="536C27F2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pirkimo pavadinimą, </w:t>
            </w:r>
          </w:p>
          <w:p w14:paraId="77455B6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vykdytoją.</w:t>
            </w:r>
          </w:p>
          <w:p w14:paraId="3AD0A59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“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Kanban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” lentos informacija turi būti pateikiama ir sąrašo forma, eksportuojama iš sistemos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xlsx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formatu.</w:t>
            </w:r>
          </w:p>
        </w:tc>
      </w:tr>
      <w:tr w:rsidR="00D648B6" w:rsidRPr="00661CC4" w14:paraId="4FA62EC8" w14:textId="77777777" w:rsidTr="00D34FD7">
        <w:trPr>
          <w:trHeight w:val="1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E51B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lastRenderedPageBreak/>
              <w:t>4.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402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Pirkimų inicijavimas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2F5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pirkimo iniciatoriai turi galėti inicijuoti pirkimo procedūrų pradžią iš pirkimų plano, struktūrizuotai pateikdami papildomus duomenis iniciavimo pažymoje apie:</w:t>
            </w:r>
          </w:p>
          <w:p w14:paraId="4F5584B4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objektą;</w:t>
            </w:r>
          </w:p>
          <w:p w14:paraId="1ED0C96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vertinimo būdą;</w:t>
            </w:r>
          </w:p>
          <w:p w14:paraId="4ACB505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techninę specifikaciją;</w:t>
            </w:r>
          </w:p>
          <w:p w14:paraId="74D68806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pagrindines sutarties sąlygas;</w:t>
            </w:r>
          </w:p>
          <w:p w14:paraId="652D4DA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tiekėjų kvalifikaciją;</w:t>
            </w:r>
          </w:p>
          <w:p w14:paraId="160818A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kt.</w:t>
            </w:r>
          </w:p>
        </w:tc>
      </w:tr>
      <w:tr w:rsidR="00D648B6" w:rsidRPr="00661CC4" w14:paraId="2770112E" w14:textId="77777777" w:rsidTr="00D34FD7">
        <w:trPr>
          <w:trHeight w:val="56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9B6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A137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B80A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generuoti pirkimo iniciavimo pažymą 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pdf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arba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word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formatu, kurią galima būtų pateikti derinimui.</w:t>
            </w:r>
          </w:p>
        </w:tc>
      </w:tr>
      <w:tr w:rsidR="00D648B6" w:rsidRPr="00661CC4" w14:paraId="73847179" w14:textId="77777777" w:rsidTr="00D34FD7">
        <w:trPr>
          <w:trHeight w:val="22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D85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C730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skelbimas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B39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parengti pirkimo skelbimą:</w:t>
            </w:r>
          </w:p>
          <w:p w14:paraId="11A9C97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specialistui, priklausomai nuo pirkimo būdo, turi būti pateikiami klausimai, kurių atsakymai reikalingi skelbimo formoje;</w:t>
            </w:r>
          </w:p>
          <w:p w14:paraId="39A1F95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specialistas turi turėti galimybę rinktis kvalifikacijos reikalavimus iš standartinio pateikto arba savo sukurto (ir nuolat kuriamo) sąrašo;</w:t>
            </w:r>
          </w:p>
          <w:p w14:paraId="15E7AA7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Sistema, priklausomai nuo pirkimo būdo, turi generuoti tarptautinio skelbimo apie pirkimą, supaprastintų ir mažos vertės skelbimų  formas patogiam informacijos sukėlimui (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t.y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>. kopijavimui) į VPT sistemą.</w:t>
            </w:r>
          </w:p>
        </w:tc>
      </w:tr>
      <w:tr w:rsidR="00D648B6" w:rsidRPr="00661CC4" w14:paraId="2A2680BE" w14:textId="77777777" w:rsidTr="00D34FD7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216A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13D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sąlygos bei jų pakeitimai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296D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generuoti pirkimo sąlygas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arba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pdf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 iš nustatytų šablonų, tenkinant tokius reikalavimus:</w:t>
            </w:r>
          </w:p>
          <w:p w14:paraId="4660BD1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Šablonus pagal pirkimo būdą bei vertinimo kriterijus turi būti galima iš anksto parengti sistemoje pirkimo sąlygų generatoriuje, kuris turi apimti visas įmanomas situacijas pagal klausimyną pirkimui;</w:t>
            </w:r>
          </w:p>
          <w:p w14:paraId="0843348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specialistas turi galėti redaguoti šablono sąlygas;</w:t>
            </w:r>
          </w:p>
          <w:p w14:paraId="1542438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generuojamos pirkimo sąlygas turi sudaryti statinis tekstas iš šablono ir  atitinkama dinaminė informacija iš pirkimo nustatymų (pavyzdžiui - nuostatos dėl pirkimo objekto ir apimčių; nuostatos dėl pasiūlymo užtikrinimo, vertinimo kriterijų ir pan.).</w:t>
            </w:r>
          </w:p>
        </w:tc>
      </w:tr>
      <w:tr w:rsidR="00D648B6" w:rsidRPr="00661CC4" w14:paraId="600DDCA5" w14:textId="77777777" w:rsidTr="00D34FD7">
        <w:trPr>
          <w:trHeight w:val="744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225D0E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7D52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843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generuoti pirkimo dokumentų pakeitimus ir pakeitimų atitikties lenteles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formatu.</w:t>
            </w:r>
          </w:p>
        </w:tc>
      </w:tr>
      <w:tr w:rsidR="00D648B6" w:rsidRPr="00661CC4" w14:paraId="08980483" w14:textId="77777777" w:rsidTr="00D34FD7">
        <w:trPr>
          <w:trHeight w:val="160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808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C30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241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generuoti pasiūlymo formą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xlsx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formatu; </w:t>
            </w:r>
          </w:p>
          <w:p w14:paraId="457618F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specialistas arba pirkimo iniciatorius turi turėti galimybę redaguoti pasiūlymo formos pirkimo objekto nustatymus ir struktūrą;</w:t>
            </w:r>
          </w:p>
          <w:p w14:paraId="5EA8B0E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Pasiūlymo formoje turi būti šie nustatymų elementai: pirkimo dalys; perkamų objektų sąrašas; kiekiai arba svoriai; nustatymas, ar tiekėjas pasiūlyme turi nurodyti konkretų produktą.</w:t>
            </w:r>
          </w:p>
        </w:tc>
      </w:tr>
      <w:tr w:rsidR="00D648B6" w:rsidRPr="00661CC4" w14:paraId="1E79A988" w14:textId="77777777" w:rsidTr="00D34FD7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C099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9176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Tiekėjų apklausos pažymos pildymas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3A93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generuoti tiekėjų apklausos pažymą iš šablono ir sistemoje esančių pasiūlymų duomenų, kurie įvesti rankiniu būdu arba importuoti.</w:t>
            </w:r>
          </w:p>
          <w:p w14:paraId="424F0A0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Apklausos pažyma gali būti pildoma objektų kainos arba pasiūlymų kainos lygiu.</w:t>
            </w:r>
          </w:p>
          <w:p w14:paraId="6D403BE1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Apklausos pažyma gali būti eksportuojama iš sistemos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pdf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arba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word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formatu.</w:t>
            </w:r>
          </w:p>
          <w:p w14:paraId="54460D5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Sistema turi neleisti laimėjusiu pripažinti tiekėją, kurio pasiūlymo kaina viršija inicijavimo pažymoje nurodytą pirkimo vertę.</w:t>
            </w:r>
          </w:p>
        </w:tc>
      </w:tr>
      <w:tr w:rsidR="00D648B6" w:rsidRPr="00661CC4" w14:paraId="2F597AA1" w14:textId="77777777" w:rsidTr="00D34FD7">
        <w:trPr>
          <w:trHeight w:val="14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9765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lastRenderedPageBreak/>
              <w:t>8.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8ADA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eigos protokolai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3E51A87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generuoti vokų atplėšimo protokolą pagal šabloną, įvedant tokius duomenis:</w:t>
            </w:r>
          </w:p>
          <w:p w14:paraId="5DB8737C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Pasiūlymų pateikimo duomenys iš CVP IS; </w:t>
            </w:r>
          </w:p>
          <w:p w14:paraId="083333D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Pasiūlymų duomenys importuoti iš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xlsx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failų (kurie buvo sukurti sistemoje ir pridėti su pirkimo dokumentais paskelbus apie pirkimą CVP IS).</w:t>
            </w:r>
          </w:p>
        </w:tc>
      </w:tr>
      <w:tr w:rsidR="00D648B6" w:rsidRPr="00661CC4" w14:paraId="72D5F3B7" w14:textId="77777777" w:rsidTr="00D34FD7">
        <w:trPr>
          <w:trHeight w:val="180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6C2480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2B8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FBAEB0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automatizuotai vertinti tiekėjų kvalifikaciją bei generuoti kvalifikacijos protokolus iš šablonų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formatu, tenkinant šiuos reikalavimus:</w:t>
            </w:r>
          </w:p>
          <w:p w14:paraId="30D87DA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Kvalifikacijai vertinti sistemoje sudaroma kvalifikacijos vertinimo lentelė, kurioje kiekvienas tiekėjo pasiūlymas yra išskaidomas pagal kvalifikacijos reikalavimus;</w:t>
            </w:r>
          </w:p>
          <w:p w14:paraId="7C5A773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specialistas sistemoje ties konkrečiais reikalavimais kiekvienam pasiūlymui turi galėti žymėti vertinimo rezultatus ir pastabas;</w:t>
            </w:r>
          </w:p>
          <w:p w14:paraId="359D691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Pagal kvalifikacijos vertinimo lentelėje pažymėtus rezultatus sistema turi sugeneruoti kvalifikacijos vertinimo protokolą ir pranešimų tiekėjams tekstus.</w:t>
            </w:r>
          </w:p>
        </w:tc>
      </w:tr>
      <w:tr w:rsidR="00D648B6" w:rsidRPr="00661CC4" w14:paraId="030B948F" w14:textId="77777777" w:rsidTr="00D34FD7">
        <w:trPr>
          <w:trHeight w:val="1800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4F3BB8E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E4AA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A4742CB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automatizuotai vertinti pasiūlymus bei generuoti pasiūlymų vertinimo protokolus iš šablonų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formatu, tenkinant šiuos reikalavimus:</w:t>
            </w:r>
          </w:p>
          <w:p w14:paraId="4ADA5B4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Pasiūlymams keliamų reikalavimų vertinimams, techninių pasiūlymų vertinimams (ekonominio naudingumo atveju) sudaroma pasiūlymų vertinimo lentelė, kurioje tiekėjų pasiūlymas išskaidomas pagal reikalavimus ir/arba kriterijus;</w:t>
            </w:r>
          </w:p>
          <w:p w14:paraId="35EDBF5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specialistas/komisijos narys sistemoje ties konkrečiais reikalavimais ar kriterijais kiekvienam pasiūlymui turi galėti žymėti vertinimo rezultatus ir pastabas;</w:t>
            </w:r>
          </w:p>
          <w:p w14:paraId="7CD14330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Pagal vertinimo lentelėje pažymėtus rezultatus sistema turi sugeneruoti pasiūlymo vertinimo protokolą ir pranešimų tiekėjams tekstus.</w:t>
            </w:r>
          </w:p>
        </w:tc>
      </w:tr>
      <w:tr w:rsidR="00D648B6" w:rsidRPr="00661CC4" w14:paraId="7EACFD15" w14:textId="77777777" w:rsidTr="00D34FD7">
        <w:trPr>
          <w:trHeight w:val="46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D8D6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6DFF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2045C1E8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Sistemoje turi būti galimybė automatizuotai vertinti pasiūlymus bei generuoti laimėtojų eilės paskelbimo protokolus iš šablonų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doc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formatu, tenkinant šiuos reikalavimus:</w:t>
            </w:r>
          </w:p>
          <w:p w14:paraId="2F2C94D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Sistema turi automatiškai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suranguoti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pasiūlymus eilėje pagal kainą arba ekonominį naudingumą (vertindamas pagal į sistemą įvestą formulę, tiekėjo pasiūlytus rodiklius arba pirkimo specialistų vertinimus);</w:t>
            </w:r>
          </w:p>
          <w:p w14:paraId="5C568805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 xml:space="preserve">Sistema turi generuoti laimėtojų eilės protokolą įtraukdama pasiūlymų </w:t>
            </w:r>
            <w:proofErr w:type="spellStart"/>
            <w:r w:rsidRPr="00661CC4">
              <w:rPr>
                <w:sz w:val="22"/>
                <w:szCs w:val="22"/>
                <w:lang w:eastAsia="ar-SA"/>
              </w:rPr>
              <w:t>surangavimo</w:t>
            </w:r>
            <w:proofErr w:type="spellEnd"/>
            <w:r w:rsidRPr="00661CC4">
              <w:rPr>
                <w:sz w:val="22"/>
                <w:szCs w:val="22"/>
                <w:lang w:eastAsia="ar-SA"/>
              </w:rPr>
              <w:t xml:space="preserve"> rezultatus.</w:t>
            </w:r>
          </w:p>
        </w:tc>
      </w:tr>
      <w:tr w:rsidR="00D648B6" w:rsidRPr="00661CC4" w14:paraId="2DE4DDC6" w14:textId="77777777" w:rsidTr="00D34FD7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397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4A686" w14:textId="4CAA022E" w:rsidR="00D648B6" w:rsidRPr="00661CC4" w:rsidRDefault="00C40149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</w:t>
            </w:r>
            <w:r w:rsidR="00D648B6" w:rsidRPr="00661CC4">
              <w:rPr>
                <w:sz w:val="22"/>
                <w:szCs w:val="22"/>
                <w:lang w:eastAsia="ar-SA"/>
              </w:rPr>
              <w:t>taskaitos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D254762" w14:textId="77777777" w:rsidR="00D648B6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Sistemoje turi būti galimybė iš įvestų duomenų generuoti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14:paraId="4A30593C" w14:textId="77777777" w:rsidR="00D648B6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pirkimo procedūrų ataskaitą – Atn-1</w:t>
            </w:r>
          </w:p>
          <w:p w14:paraId="3BDC3C85" w14:textId="77777777" w:rsidR="00D648B6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Informaciją Atn-3, At-6/7 formų pildymui;</w:t>
            </w:r>
          </w:p>
          <w:p w14:paraId="0B0A9F79" w14:textId="77777777" w:rsidR="00D648B6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Pirkimų vykdymų ataskaitas </w:t>
            </w:r>
            <w:r w:rsidRPr="00661CC4">
              <w:rPr>
                <w:sz w:val="22"/>
                <w:szCs w:val="22"/>
                <w:lang w:eastAsia="ar-SA"/>
              </w:rPr>
              <w:t>pagal iniciatorius, vykdytojus, pirkimo būdus, statusus ir kt.</w:t>
            </w:r>
          </w:p>
          <w:p w14:paraId="3194A0AD" w14:textId="77777777" w:rsidR="00D648B6" w:rsidRPr="00661CC4" w:rsidRDefault="00D648B6" w:rsidP="00D34FD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648B6" w:rsidRPr="00661CC4" w14:paraId="4A415779" w14:textId="6FC74D4F" w:rsidTr="00760E53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AF00" w14:textId="744B2299" w:rsidR="00D648B6" w:rsidRPr="00661CC4" w:rsidRDefault="00D648B6" w:rsidP="00760E53">
            <w:pPr>
              <w:suppressAutoHyphens/>
              <w:rPr>
                <w:sz w:val="22"/>
                <w:szCs w:val="22"/>
                <w:lang w:eastAsia="ar-SA"/>
              </w:rPr>
            </w:pPr>
            <w:r w:rsidRPr="00661CC4">
              <w:rPr>
                <w:sz w:val="22"/>
                <w:szCs w:val="22"/>
                <w:lang w:eastAsia="ar-SA"/>
              </w:rPr>
              <w:t>1</w:t>
            </w:r>
            <w:r w:rsidR="00760E53">
              <w:rPr>
                <w:sz w:val="22"/>
                <w:szCs w:val="22"/>
                <w:lang w:eastAsia="ar-SA"/>
              </w:rPr>
              <w:t>0</w:t>
            </w:r>
            <w:r w:rsidRPr="00661CC4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6413" w14:textId="017B42B2" w:rsidR="00D648B6" w:rsidRPr="00661CC4" w:rsidRDefault="00D648B6" w:rsidP="00760E53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Biudžet</w:t>
            </w:r>
            <w:r w:rsidR="00760E53">
              <w:rPr>
                <w:sz w:val="22"/>
                <w:szCs w:val="22"/>
                <w:lang w:eastAsia="ar-SA"/>
              </w:rPr>
              <w:t>o funkcionalumas</w:t>
            </w:r>
            <w:r w:rsidRPr="00661CC4">
              <w:rPr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14:paraId="6A75F4E8" w14:textId="03950496" w:rsidR="00D648B6" w:rsidRPr="00661CC4" w:rsidRDefault="00760E53" w:rsidP="00D34FD7">
            <w:pPr>
              <w:suppressAutoHyphens/>
              <w:rPr>
                <w:sz w:val="22"/>
                <w:szCs w:val="22"/>
                <w:lang w:eastAsia="ar-SA"/>
              </w:rPr>
            </w:pPr>
            <w:r w:rsidRPr="00760E53">
              <w:rPr>
                <w:sz w:val="22"/>
                <w:szCs w:val="22"/>
                <w:lang w:eastAsia="ar-SA"/>
              </w:rPr>
              <w:t>Metinio biudžeto plano sudarymo, pasiskirstymo pagal planuojamus atlikti pirkimus bei užsakymus pagal sutartis ataskaitų, sąmatų rengimo, biudžeto vykdymo kontrolės funkcijos</w:t>
            </w:r>
          </w:p>
        </w:tc>
      </w:tr>
    </w:tbl>
    <w:p w14:paraId="3949EEE3" w14:textId="77777777" w:rsidR="003A5F4C" w:rsidRDefault="003A5F4C" w:rsidP="00D648B6">
      <w:pPr>
        <w:suppressAutoHyphens/>
        <w:jc w:val="center"/>
        <w:rPr>
          <w:sz w:val="22"/>
          <w:szCs w:val="22"/>
          <w:lang w:eastAsia="ar-SA"/>
        </w:rPr>
      </w:pPr>
    </w:p>
    <w:p w14:paraId="05673D0E" w14:textId="151BC45D" w:rsidR="00D648B6" w:rsidRPr="00661CC4" w:rsidRDefault="00760E53" w:rsidP="00760E53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</w:t>
      </w:r>
    </w:p>
    <w:p w14:paraId="649E07FE" w14:textId="77777777" w:rsidR="00D648B6" w:rsidRPr="005338A6" w:rsidRDefault="00D648B6" w:rsidP="00D648B6">
      <w:pPr>
        <w:spacing w:line="259" w:lineRule="auto"/>
        <w:jc w:val="both"/>
        <w:rPr>
          <w:b/>
          <w:szCs w:val="24"/>
        </w:rPr>
      </w:pPr>
    </w:p>
    <w:p w14:paraId="1DA5872C" w14:textId="77777777" w:rsidR="00217B48" w:rsidRDefault="00217B48"/>
    <w:sectPr w:rsidR="00217B48" w:rsidSect="00A3535B">
      <w:headerReference w:type="even" r:id="rId7"/>
      <w:headerReference w:type="default" r:id="rId8"/>
      <w:pgSz w:w="11906" w:h="16838" w:code="9"/>
      <w:pgMar w:top="993" w:right="562" w:bottom="993" w:left="12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D07A1" w14:textId="77777777" w:rsidR="00305BDC" w:rsidRDefault="00305BDC">
      <w:r>
        <w:separator/>
      </w:r>
    </w:p>
  </w:endnote>
  <w:endnote w:type="continuationSeparator" w:id="0">
    <w:p w14:paraId="2E7902A5" w14:textId="77777777" w:rsidR="00305BDC" w:rsidRDefault="003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2ADB" w14:textId="77777777" w:rsidR="00305BDC" w:rsidRDefault="00305BDC">
      <w:r>
        <w:separator/>
      </w:r>
    </w:p>
  </w:footnote>
  <w:footnote w:type="continuationSeparator" w:id="0">
    <w:p w14:paraId="21AAB97A" w14:textId="77777777" w:rsidR="00305BDC" w:rsidRDefault="0030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2AC1E" w14:textId="77777777" w:rsidR="00FF5095" w:rsidRDefault="00D25FAD" w:rsidP="00D47C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1D172" w14:textId="77777777" w:rsidR="00FF5095" w:rsidRDefault="00305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290362"/>
      <w:docPartObj>
        <w:docPartGallery w:val="Page Numbers (Top of Page)"/>
        <w:docPartUnique/>
      </w:docPartObj>
    </w:sdtPr>
    <w:sdtEndPr/>
    <w:sdtContent>
      <w:p w14:paraId="351CEB15" w14:textId="561FA451" w:rsidR="00FF5095" w:rsidRDefault="00D25F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EC">
          <w:rPr>
            <w:noProof/>
          </w:rPr>
          <w:t>4</w:t>
        </w:r>
        <w:r>
          <w:fldChar w:fldCharType="end"/>
        </w:r>
      </w:p>
    </w:sdtContent>
  </w:sdt>
  <w:p w14:paraId="3173425F" w14:textId="77777777" w:rsidR="00FF5095" w:rsidRDefault="00305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B5DB0"/>
    <w:multiLevelType w:val="hybridMultilevel"/>
    <w:tmpl w:val="DFF6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B6"/>
    <w:rsid w:val="00006BEC"/>
    <w:rsid w:val="000E642D"/>
    <w:rsid w:val="001D7809"/>
    <w:rsid w:val="00217B48"/>
    <w:rsid w:val="00305BDC"/>
    <w:rsid w:val="003A5718"/>
    <w:rsid w:val="003A5F4C"/>
    <w:rsid w:val="00473811"/>
    <w:rsid w:val="006B5D6A"/>
    <w:rsid w:val="00760E53"/>
    <w:rsid w:val="00960F09"/>
    <w:rsid w:val="009A7472"/>
    <w:rsid w:val="00B31E9F"/>
    <w:rsid w:val="00C40149"/>
    <w:rsid w:val="00CF6B85"/>
    <w:rsid w:val="00D25FAD"/>
    <w:rsid w:val="00D61E49"/>
    <w:rsid w:val="00D648B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3B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8B6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8B6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648B6"/>
    <w:rPr>
      <w:rFonts w:ascii="Arial" w:eastAsia="Times New Roman" w:hAnsi="Arial" w:cs="Arial"/>
      <w:sz w:val="20"/>
      <w:lang w:val="lt-LT" w:eastAsia="lt-LT"/>
    </w:rPr>
  </w:style>
  <w:style w:type="character" w:styleId="PageNumber">
    <w:name w:val="page number"/>
    <w:basedOn w:val="DefaultParagraphFont"/>
    <w:rsid w:val="00D648B6"/>
  </w:style>
  <w:style w:type="paragraph" w:styleId="BalloonText">
    <w:name w:val="Balloon Text"/>
    <w:basedOn w:val="Normal"/>
    <w:link w:val="BalloonTextChar"/>
    <w:uiPriority w:val="99"/>
    <w:semiHidden/>
    <w:unhideWhenUsed/>
    <w:rsid w:val="003A5F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F4C"/>
    <w:rPr>
      <w:rFonts w:ascii="Times New Roman" w:eastAsia="Times New Roman" w:hAnsi="Times New Roman" w:cs="Times New Roman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A5F4C"/>
    <w:rPr>
      <w:rFonts w:ascii="Times New Roman" w:eastAsia="Times New Roman" w:hAnsi="Times New Roman" w:cs="Times New Roman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D6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7195</Words>
  <Characters>4102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Ona Mišeikienė</cp:lastModifiedBy>
  <cp:revision>4</cp:revision>
  <dcterms:created xsi:type="dcterms:W3CDTF">2018-12-07T10:25:00Z</dcterms:created>
  <dcterms:modified xsi:type="dcterms:W3CDTF">2018-12-12T13:45:00Z</dcterms:modified>
</cp:coreProperties>
</file>