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39E2"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b/>
          <w:bCs/>
        </w:rPr>
        <w:t>PERKAMŲ PASLAUGŲ TECHNINĖ SPECIFIKACIJA</w:t>
      </w:r>
      <w:r w:rsidRPr="00C03579">
        <w:rPr>
          <w:rFonts w:ascii="Times New Roman" w:hAnsi="Times New Roman" w:cs="Times New Roman"/>
        </w:rPr>
        <w:t> </w:t>
      </w:r>
    </w:p>
    <w:p w14:paraId="656A678B"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b/>
          <w:bCs/>
        </w:rPr>
        <w:t>Kultūros infrastruktūros centro įgyvendinamo projekto “Apsaugok ir sutaupyk: paveldo prevencinė priežiūra” viešųjų ryšių (reklamos) paslaugos </w:t>
      </w:r>
      <w:r w:rsidRPr="00C03579">
        <w:rPr>
          <w:rFonts w:ascii="Times New Roman" w:hAnsi="Times New Roman" w:cs="Times New Roman"/>
        </w:rPr>
        <w:t> </w:t>
      </w:r>
    </w:p>
    <w:p w14:paraId="3E133489" w14:textId="77777777" w:rsidR="00C03579" w:rsidRPr="00C03579" w:rsidRDefault="00C03579" w:rsidP="00F83FC3">
      <w:pPr>
        <w:numPr>
          <w:ilvl w:val="0"/>
          <w:numId w:val="1"/>
        </w:numPr>
        <w:jc w:val="both"/>
        <w:rPr>
          <w:rFonts w:ascii="Times New Roman" w:hAnsi="Times New Roman" w:cs="Times New Roman"/>
        </w:rPr>
      </w:pPr>
      <w:r w:rsidRPr="00C03579">
        <w:rPr>
          <w:rFonts w:ascii="Times New Roman" w:hAnsi="Times New Roman" w:cs="Times New Roman"/>
        </w:rPr>
        <w:t>Bendroji dalis.   </w:t>
      </w:r>
    </w:p>
    <w:p w14:paraId="01D33AF9" w14:textId="77777777" w:rsidR="00C03579" w:rsidRPr="00C03579" w:rsidRDefault="00C03579" w:rsidP="00F83FC3">
      <w:pPr>
        <w:numPr>
          <w:ilvl w:val="0"/>
          <w:numId w:val="2"/>
        </w:numPr>
        <w:jc w:val="both"/>
        <w:rPr>
          <w:rFonts w:ascii="Times New Roman" w:hAnsi="Times New Roman" w:cs="Times New Roman"/>
        </w:rPr>
      </w:pPr>
      <w:r w:rsidRPr="00C03579">
        <w:rPr>
          <w:rFonts w:ascii="Times New Roman" w:hAnsi="Times New Roman" w:cs="Times New Roman"/>
        </w:rPr>
        <w:t>Kultūros infrastruktūros centras</w:t>
      </w:r>
      <w:r w:rsidRPr="00C03579">
        <w:rPr>
          <w:rFonts w:ascii="Times New Roman" w:hAnsi="Times New Roman" w:cs="Times New Roman"/>
          <w:i/>
          <w:iCs/>
        </w:rPr>
        <w:t xml:space="preserve"> </w:t>
      </w:r>
      <w:r w:rsidRPr="00C03579">
        <w:rPr>
          <w:rFonts w:ascii="Times New Roman" w:hAnsi="Times New Roman" w:cs="Times New Roman"/>
        </w:rPr>
        <w:t>(toliau vadinamas – Perkančioji organizacija), 2025 m. įgyvendina projektą “Apsaugok ir sutaupyk: paveldo prevencinė priežiūra” (toliau – Projektas), kuris yra 2021-2030 metų Lietuvos Respublikos kultūros ministerijos kultūros ir kūrybingumo plėtros programos pažangos priemonės Nr.08-001-04-06-01 „Tvarių prielaidų ir paskatų aktualizuoti kultūros paveldo vertybes sukūrimas“ veiklos Nr.10 „Prevencijos projektų programa“ dalis. Projekto tikslas – skleisti kultūros paveldo objektų priežiūros gerąją praktiką nuotoliniu būdu suteikiant kultūros paveldo objektų valdytojams ir priežiūrą vykdantiems fiziniams, juridiniams asmenims bei plačiajai visuomenei prevencinės objektų priežiūros praktines žinias ir įgūdžius bei praktines žinias padaryti labiau prieinamas.   </w:t>
      </w:r>
    </w:p>
    <w:p w14:paraId="1F8A15B6" w14:textId="77777777" w:rsidR="00C03579" w:rsidRPr="00C03579" w:rsidRDefault="00C03579" w:rsidP="00F83FC3">
      <w:pPr>
        <w:numPr>
          <w:ilvl w:val="0"/>
          <w:numId w:val="3"/>
        </w:numPr>
        <w:jc w:val="both"/>
        <w:rPr>
          <w:rFonts w:ascii="Times New Roman" w:hAnsi="Times New Roman" w:cs="Times New Roman"/>
        </w:rPr>
      </w:pPr>
      <w:r w:rsidRPr="00C03579">
        <w:rPr>
          <w:rFonts w:ascii="Times New Roman" w:hAnsi="Times New Roman" w:cs="Times New Roman"/>
        </w:rPr>
        <w:t>Įgyvendindama projektą, Perkančioji organizacija numato viešųjų ryšių (reklamos)</w:t>
      </w:r>
      <w:r w:rsidRPr="00C03579">
        <w:rPr>
          <w:rFonts w:ascii="Times New Roman" w:hAnsi="Times New Roman" w:cs="Times New Roman"/>
          <w:b/>
          <w:bCs/>
        </w:rPr>
        <w:t xml:space="preserve"> </w:t>
      </w:r>
      <w:r w:rsidRPr="00C03579">
        <w:rPr>
          <w:rFonts w:ascii="Times New Roman" w:hAnsi="Times New Roman" w:cs="Times New Roman"/>
        </w:rPr>
        <w:t>paslaugas (toliau – Paslaugos).   </w:t>
      </w:r>
    </w:p>
    <w:p w14:paraId="0F6FA3E4" w14:textId="77777777" w:rsidR="00C03579" w:rsidRPr="00C03579" w:rsidRDefault="00C03579" w:rsidP="00F83FC3">
      <w:pPr>
        <w:numPr>
          <w:ilvl w:val="0"/>
          <w:numId w:val="4"/>
        </w:numPr>
        <w:jc w:val="both"/>
        <w:rPr>
          <w:rFonts w:ascii="Times New Roman" w:hAnsi="Times New Roman" w:cs="Times New Roman"/>
        </w:rPr>
      </w:pPr>
      <w:r w:rsidRPr="00C03579">
        <w:rPr>
          <w:rFonts w:ascii="Times New Roman" w:hAnsi="Times New Roman" w:cs="Times New Roman"/>
        </w:rPr>
        <w:t>Šis mažos vertės viešasis neskelbiamas pirkimas (toliau – Pirkimas) atliekamas vadovaujantis Viešųjų pirkimų tarnybos direktoriaus įsakymu patvirtintu Mažos vertės pirkimų tvarkos aprašu, Kultūros infrastruktūros centro Viešųjų pirkimų organizavimo tvarkos aprašu, patvirtintu direktoriaus 2025 m. gegužės mėn. 30 d. įsakymu Nr. Į-49/2025, Lietuvos Respublikos viešųjų pirkimų įstatymu, Lietuvos Respublikos civiliniu kodeksu, kitais viešuosius pirkimus reglamentuojančiais teisės aktais bei šiomis pirkimo sąlygomis. Vartojamos sąvokos, apibrėžtos Viešųjų pirkimų įstatyme.   </w:t>
      </w:r>
    </w:p>
    <w:p w14:paraId="48EF11DB" w14:textId="77777777" w:rsidR="00C03579" w:rsidRPr="00C03579" w:rsidRDefault="00C03579" w:rsidP="00F83FC3">
      <w:pPr>
        <w:numPr>
          <w:ilvl w:val="0"/>
          <w:numId w:val="5"/>
        </w:numPr>
        <w:jc w:val="both"/>
        <w:rPr>
          <w:rFonts w:ascii="Times New Roman" w:hAnsi="Times New Roman" w:cs="Times New Roman"/>
        </w:rPr>
      </w:pPr>
      <w:r w:rsidRPr="00C03579">
        <w:rPr>
          <w:rFonts w:ascii="Times New Roman" w:hAnsi="Times New Roman" w:cs="Times New Roman"/>
        </w:rPr>
        <w:t>Perkančiosios organizacijos adresas: Šnipiškių g. 3, Vilnius. Perkančiosios organizacijos kontaktinis asmuo su viešuoju pirkimu susijusiais klausimais – FIXUS Mobilis grupės vadovės pavaduotoja Emilija Armakauskaitė, tel. +370 687 99598, emilija.armakauskaite@kulturosic.lt. Bet kokia informacija, pirkimo sąlygų paaiškinimai, pranešimai ar kitas perkančiosios organizacijos ir teikėjų susirašinėjimas yra vykdomas el. paštu.   </w:t>
      </w:r>
    </w:p>
    <w:p w14:paraId="168CE8F6" w14:textId="77777777" w:rsidR="00C03579" w:rsidRPr="00C03579" w:rsidRDefault="00C03579" w:rsidP="00F83FC3">
      <w:pPr>
        <w:numPr>
          <w:ilvl w:val="0"/>
          <w:numId w:val="6"/>
        </w:numPr>
        <w:jc w:val="both"/>
        <w:rPr>
          <w:rFonts w:ascii="Times New Roman" w:hAnsi="Times New Roman" w:cs="Times New Roman"/>
        </w:rPr>
      </w:pPr>
      <w:r w:rsidRPr="00C03579">
        <w:rPr>
          <w:rFonts w:ascii="Times New Roman" w:hAnsi="Times New Roman" w:cs="Times New Roman"/>
        </w:rPr>
        <w:t>Paslaugų suteikimo trukmė – nuo sutarties pasirašymo iki 2025 m. gruodžio mėn. 10 d.  </w:t>
      </w:r>
    </w:p>
    <w:p w14:paraId="36D1D625"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rPr>
        <w:t> </w:t>
      </w:r>
    </w:p>
    <w:p w14:paraId="2B112CCC" w14:textId="77777777" w:rsidR="00C03579" w:rsidRPr="00C03579" w:rsidRDefault="00C03579" w:rsidP="00F83FC3">
      <w:pPr>
        <w:numPr>
          <w:ilvl w:val="0"/>
          <w:numId w:val="7"/>
        </w:numPr>
        <w:jc w:val="both"/>
        <w:rPr>
          <w:rFonts w:ascii="Times New Roman" w:hAnsi="Times New Roman" w:cs="Times New Roman"/>
        </w:rPr>
      </w:pPr>
      <w:r w:rsidRPr="00C03579">
        <w:rPr>
          <w:rFonts w:ascii="Times New Roman" w:hAnsi="Times New Roman" w:cs="Times New Roman"/>
        </w:rPr>
        <w:t>Pašalinimo pagrindai. </w:t>
      </w:r>
    </w:p>
    <w:p w14:paraId="4CF06267"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rPr>
        <w:t>Pirkime, netaikomi tiekėjų pašalinimo pagrindai, išskyrus Mažos vertės pirkimų tvarkos aprašo 9</w:t>
      </w:r>
      <w:r w:rsidRPr="00C03579">
        <w:rPr>
          <w:rFonts w:ascii="Times New Roman" w:hAnsi="Times New Roman" w:cs="Times New Roman"/>
          <w:vertAlign w:val="superscript"/>
        </w:rPr>
        <w:t>1</w:t>
      </w:r>
      <w:r w:rsidRPr="00C03579">
        <w:rPr>
          <w:rFonts w:ascii="Times New Roman" w:hAnsi="Times New Roman" w:cs="Times New Roman"/>
        </w:rPr>
        <w:t xml:space="preserve"> punkte ir Mažos vertės pirkimų tvarkos aprašo 9</w:t>
      </w:r>
      <w:r w:rsidRPr="00C03579">
        <w:rPr>
          <w:rFonts w:ascii="Times New Roman" w:hAnsi="Times New Roman" w:cs="Times New Roman"/>
          <w:vertAlign w:val="superscript"/>
        </w:rPr>
        <w:t>2</w:t>
      </w:r>
      <w:r w:rsidRPr="00C03579">
        <w:rPr>
          <w:rFonts w:ascii="Times New Roman" w:hAnsi="Times New Roman" w:cs="Times New Roman"/>
        </w:rPr>
        <w:t xml:space="preserve"> punkte nustatytas taisykles: </w:t>
      </w:r>
    </w:p>
    <w:p w14:paraId="3CFBF085" w14:textId="77777777" w:rsidR="00C03579" w:rsidRPr="00C03579" w:rsidRDefault="00C03579" w:rsidP="00F83FC3">
      <w:pPr>
        <w:numPr>
          <w:ilvl w:val="0"/>
          <w:numId w:val="8"/>
        </w:numPr>
        <w:jc w:val="both"/>
        <w:rPr>
          <w:rFonts w:ascii="Times New Roman" w:hAnsi="Times New Roman" w:cs="Times New Roman"/>
        </w:rPr>
      </w:pPr>
      <w:r w:rsidRPr="00C03579">
        <w:rPr>
          <w:rFonts w:ascii="Times New Roman" w:hAnsi="Times New Roman" w:cs="Times New Roman"/>
        </w:rPr>
        <w:t> Neatsižvelgiant į tai, ar toks pašalinimo pagrindas numatytas vykdomo pirkimo dokumentuose, perkančioji organizacija, įvertinusi, kad tiekėjo pašalinimas iš pirkimo procedūros proporcingas vertinamam tiekėjo elgesiui, gali pašalinti tiekėją iš pirkimo procedūros: </w:t>
      </w:r>
    </w:p>
    <w:p w14:paraId="2846F5C2" w14:textId="77777777" w:rsidR="00C03579" w:rsidRPr="00C03579" w:rsidRDefault="00C03579" w:rsidP="00F83FC3">
      <w:pPr>
        <w:numPr>
          <w:ilvl w:val="0"/>
          <w:numId w:val="9"/>
        </w:numPr>
        <w:jc w:val="both"/>
        <w:rPr>
          <w:rFonts w:ascii="Times New Roman" w:hAnsi="Times New Roman" w:cs="Times New Roman"/>
        </w:rPr>
      </w:pPr>
      <w:r w:rsidRPr="00C03579">
        <w:rPr>
          <w:rFonts w:ascii="Times New Roman" w:hAnsi="Times New Roman" w:cs="Times New Roman"/>
        </w:rPr>
        <w:lastRenderedPageBreak/>
        <w:t>Jeigu jis su kitais tiekėjais yra sudaręs susitarimų, kuriais siekiama iškreipti konkurenciją atliekamame pirkime, ir perkančioji organizacija dėl to turi įtikinamų duomenų; </w:t>
      </w:r>
    </w:p>
    <w:p w14:paraId="454EEC57" w14:textId="77777777" w:rsidR="00C03579" w:rsidRPr="00C03579" w:rsidRDefault="00C03579" w:rsidP="00F83FC3">
      <w:pPr>
        <w:numPr>
          <w:ilvl w:val="0"/>
          <w:numId w:val="10"/>
        </w:numPr>
        <w:jc w:val="both"/>
        <w:rPr>
          <w:rFonts w:ascii="Times New Roman" w:hAnsi="Times New Roman" w:cs="Times New Roman"/>
        </w:rPr>
      </w:pPr>
      <w:r w:rsidRPr="00C03579">
        <w:rPr>
          <w:rFonts w:ascii="Times New Roman" w:hAnsi="Times New Roman" w:cs="Times New Roman"/>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w:t>
      </w:r>
    </w:p>
    <w:p w14:paraId="7FCDAFC6" w14:textId="77777777" w:rsidR="00C03579" w:rsidRPr="00C03579" w:rsidRDefault="00C03579" w:rsidP="00F83FC3">
      <w:pPr>
        <w:numPr>
          <w:ilvl w:val="0"/>
          <w:numId w:val="11"/>
        </w:numPr>
        <w:jc w:val="both"/>
        <w:rPr>
          <w:rFonts w:ascii="Times New Roman" w:hAnsi="Times New Roman" w:cs="Times New Roman"/>
        </w:rPr>
      </w:pPr>
      <w:r w:rsidRPr="00C03579">
        <w:rPr>
          <w:rFonts w:ascii="Times New Roman" w:hAnsi="Times New Roman" w:cs="Times New Roman"/>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0DD4DE5" w14:textId="77777777" w:rsidR="00C03579" w:rsidRPr="00C03579" w:rsidRDefault="00C03579" w:rsidP="00F83FC3">
      <w:pPr>
        <w:numPr>
          <w:ilvl w:val="0"/>
          <w:numId w:val="12"/>
        </w:numPr>
        <w:jc w:val="both"/>
        <w:rPr>
          <w:rFonts w:ascii="Times New Roman" w:hAnsi="Times New Roman" w:cs="Times New Roman"/>
        </w:rPr>
      </w:pPr>
      <w:r w:rsidRPr="00C03579">
        <w:rPr>
          <w:rFonts w:ascii="Times New Roman" w:hAnsi="Times New Roman" w:cs="Times New Roman"/>
        </w:rPr>
        <w:t>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 </w:t>
      </w:r>
    </w:p>
    <w:p w14:paraId="1502138D"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rPr>
        <w:t> </w:t>
      </w:r>
    </w:p>
    <w:p w14:paraId="0BB4B509" w14:textId="77777777" w:rsidR="00C03579" w:rsidRPr="00C03579" w:rsidRDefault="00C03579" w:rsidP="00F83FC3">
      <w:pPr>
        <w:numPr>
          <w:ilvl w:val="0"/>
          <w:numId w:val="13"/>
        </w:numPr>
        <w:jc w:val="both"/>
        <w:rPr>
          <w:rFonts w:ascii="Times New Roman" w:hAnsi="Times New Roman" w:cs="Times New Roman"/>
        </w:rPr>
      </w:pPr>
      <w:r w:rsidRPr="00C03579">
        <w:rPr>
          <w:rFonts w:ascii="Times New Roman" w:hAnsi="Times New Roman" w:cs="Times New Roman"/>
          <w:lang w:val="en-US"/>
        </w:rPr>
        <w:t>Reikalavimai:</w:t>
      </w:r>
      <w:r w:rsidRPr="00C03579">
        <w:rPr>
          <w:rFonts w:ascii="Times New Roman" w:hAnsi="Times New Roman" w:cs="Times New Roman"/>
        </w:rPr>
        <w:t> </w:t>
      </w:r>
    </w:p>
    <w:p w14:paraId="2E91BF36" w14:textId="77777777" w:rsidR="00C03579" w:rsidRPr="00C03579" w:rsidRDefault="00C03579" w:rsidP="00F83FC3">
      <w:pPr>
        <w:numPr>
          <w:ilvl w:val="0"/>
          <w:numId w:val="14"/>
        </w:numPr>
        <w:jc w:val="both"/>
        <w:rPr>
          <w:rFonts w:ascii="Times New Roman" w:hAnsi="Times New Roman" w:cs="Times New Roman"/>
        </w:rPr>
      </w:pPr>
      <w:r w:rsidRPr="00C03579">
        <w:rPr>
          <w:rFonts w:ascii="Times New Roman" w:hAnsi="Times New Roman" w:cs="Times New Roman"/>
        </w:rPr>
        <w:t>Jei pasiūlymą teikiantis tiekėjas yra juridinis asmuo, jis turi būti užsiregistravęs Viešosios informacijos rengėjų ir skleidėjų informacinėje sistemoje (VIRSIS).* </w:t>
      </w:r>
    </w:p>
    <w:p w14:paraId="28614326"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rPr>
        <w:t>*Pastabas: Perkančioji organizacija pati patikrins, ar tiekėjas yra užsiregistravęs VIRSIS sistemoje. </w:t>
      </w:r>
    </w:p>
    <w:p w14:paraId="3659DC0D" w14:textId="77777777" w:rsidR="00C03579" w:rsidRPr="00C03579" w:rsidRDefault="00C03579" w:rsidP="00F83FC3">
      <w:pPr>
        <w:numPr>
          <w:ilvl w:val="0"/>
          <w:numId w:val="15"/>
        </w:numPr>
        <w:jc w:val="both"/>
        <w:rPr>
          <w:rFonts w:ascii="Times New Roman" w:hAnsi="Times New Roman" w:cs="Times New Roman"/>
        </w:rPr>
      </w:pPr>
      <w:r w:rsidRPr="00C03579">
        <w:rPr>
          <w:rFonts w:ascii="Times New Roman" w:hAnsi="Times New Roman" w:cs="Times New Roman"/>
        </w:rPr>
        <w:t>Tiekėjas turi teisę verstis sutarčiai vykdyti reikalinga veikla.  </w:t>
      </w:r>
    </w:p>
    <w:p w14:paraId="305BB0FF"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rPr>
        <w:t>Kvalifikacijos reikalavimus įrodantys dokumentai*: </w:t>
      </w:r>
    </w:p>
    <w:p w14:paraId="48A1EB0C" w14:textId="77777777" w:rsidR="00C03579" w:rsidRPr="00C03579" w:rsidRDefault="00C03579" w:rsidP="00F83FC3">
      <w:pPr>
        <w:numPr>
          <w:ilvl w:val="0"/>
          <w:numId w:val="16"/>
        </w:numPr>
        <w:jc w:val="both"/>
        <w:rPr>
          <w:rFonts w:ascii="Times New Roman" w:hAnsi="Times New Roman" w:cs="Times New Roman"/>
        </w:rPr>
      </w:pPr>
      <w:r w:rsidRPr="00C03579">
        <w:rPr>
          <w:rFonts w:ascii="Times New Roman" w:hAnsi="Times New Roman" w:cs="Times New Roman"/>
        </w:rPr>
        <w:t>Jeigu verstis atitinkama veikla yra privalomi leidimai, licencijos, atestatai ar kiti dokumentai – atitinkamų dokumentų – licencijų, leidimų, atestatų ar kitų pirkimo sutarčiai vykdyti privalomų dokumentų, kopijos; </w:t>
      </w:r>
    </w:p>
    <w:p w14:paraId="06C2FEFC"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rPr>
        <w:t>*Pastaba: kopijos arba nuorodos į nacionalines duomenų bazes bet kurioje valstybėje narėje, prie kurių pirkimo vykdytojas turės galimybę tiesiogiai ir neatlygintinai prisijungusi ir susipažinti su reikalaujamais dokumentais ir (ar) informacija. </w:t>
      </w:r>
    </w:p>
    <w:p w14:paraId="01BCB1F0" w14:textId="77777777" w:rsidR="00C03579" w:rsidRPr="00C03579" w:rsidRDefault="00C03579" w:rsidP="00F83FC3">
      <w:pPr>
        <w:jc w:val="both"/>
        <w:rPr>
          <w:rFonts w:ascii="Times New Roman" w:hAnsi="Times New Roman" w:cs="Times New Roman"/>
        </w:rPr>
      </w:pPr>
      <w:r w:rsidRPr="00C03579">
        <w:rPr>
          <w:rFonts w:ascii="Times New Roman" w:hAnsi="Times New Roman" w:cs="Times New Roman"/>
        </w:rPr>
        <w:t> </w:t>
      </w:r>
    </w:p>
    <w:p w14:paraId="3F02F3FE" w14:textId="77777777" w:rsidR="00C03579" w:rsidRPr="00C03579" w:rsidRDefault="00C03579" w:rsidP="00F83FC3">
      <w:pPr>
        <w:numPr>
          <w:ilvl w:val="0"/>
          <w:numId w:val="17"/>
        </w:numPr>
        <w:jc w:val="both"/>
        <w:rPr>
          <w:rFonts w:ascii="Times New Roman" w:hAnsi="Times New Roman" w:cs="Times New Roman"/>
        </w:rPr>
      </w:pPr>
      <w:r w:rsidRPr="00C03579">
        <w:rPr>
          <w:rFonts w:ascii="Times New Roman" w:hAnsi="Times New Roman" w:cs="Times New Roman"/>
        </w:rPr>
        <w:t>Pirkimo objekto apibūdinimas: </w:t>
      </w:r>
    </w:p>
    <w:p w14:paraId="6F572CC4" w14:textId="77777777" w:rsidR="00C03579" w:rsidRPr="00C03579" w:rsidRDefault="00C03579" w:rsidP="00F83FC3">
      <w:pPr>
        <w:numPr>
          <w:ilvl w:val="0"/>
          <w:numId w:val="18"/>
        </w:numPr>
        <w:jc w:val="both"/>
        <w:rPr>
          <w:rFonts w:ascii="Times New Roman" w:hAnsi="Times New Roman" w:cs="Times New Roman"/>
        </w:rPr>
      </w:pPr>
      <w:r w:rsidRPr="00C03579">
        <w:rPr>
          <w:rFonts w:ascii="Times New Roman" w:hAnsi="Times New Roman" w:cs="Times New Roman"/>
        </w:rPr>
        <w:t>Tikslinių auditorijų nustatymas, atliekant užsakomosios reklamos testavimą skirtingoms auditorijoms; </w:t>
      </w:r>
    </w:p>
    <w:p w14:paraId="7E5D55B5" w14:textId="77777777" w:rsidR="00C03579" w:rsidRPr="00C03579" w:rsidRDefault="00C03579" w:rsidP="00F83FC3">
      <w:pPr>
        <w:numPr>
          <w:ilvl w:val="0"/>
          <w:numId w:val="19"/>
        </w:numPr>
        <w:jc w:val="both"/>
        <w:rPr>
          <w:rFonts w:ascii="Times New Roman" w:hAnsi="Times New Roman" w:cs="Times New Roman"/>
        </w:rPr>
      </w:pPr>
      <w:r w:rsidRPr="00C03579">
        <w:rPr>
          <w:rFonts w:ascii="Times New Roman" w:hAnsi="Times New Roman" w:cs="Times New Roman"/>
        </w:rPr>
        <w:lastRenderedPageBreak/>
        <w:t>Užsakomosios reklamos kampanijos vykdymas socialinių tinklų platformose (pvz., „Facebook“, „Instagram“ arba lygiavertėse), nukreipiant srautą į perkančiosios organizacijos nurodytus vaizdo įrašus, talpinamus vaizdo turinio platformoje; </w:t>
      </w:r>
    </w:p>
    <w:p w14:paraId="5DAE005B" w14:textId="77777777" w:rsidR="00C03579" w:rsidRPr="00C03579" w:rsidRDefault="00C03579" w:rsidP="00F83FC3">
      <w:pPr>
        <w:numPr>
          <w:ilvl w:val="0"/>
          <w:numId w:val="20"/>
        </w:numPr>
        <w:jc w:val="both"/>
        <w:rPr>
          <w:rFonts w:ascii="Times New Roman" w:hAnsi="Times New Roman" w:cs="Times New Roman"/>
        </w:rPr>
      </w:pPr>
      <w:r w:rsidRPr="00C03579">
        <w:rPr>
          <w:rFonts w:ascii="Times New Roman" w:hAnsi="Times New Roman" w:cs="Times New Roman"/>
        </w:rPr>
        <w:t>Užsakomosios vaizdo įrašų reklamos kampanijos vykdymas internetinėse vaizdo turinio platformose (pvz., „YouTube“ arba lygiavertėse). </w:t>
      </w:r>
    </w:p>
    <w:p w14:paraId="775089C8" w14:textId="77777777" w:rsidR="00C03579" w:rsidRPr="00C03579" w:rsidRDefault="00C03579" w:rsidP="00F83FC3">
      <w:pPr>
        <w:numPr>
          <w:ilvl w:val="0"/>
          <w:numId w:val="21"/>
        </w:numPr>
        <w:jc w:val="both"/>
        <w:rPr>
          <w:rFonts w:ascii="Times New Roman" w:hAnsi="Times New Roman" w:cs="Times New Roman"/>
        </w:rPr>
      </w:pPr>
      <w:r w:rsidRPr="00C03579">
        <w:rPr>
          <w:rFonts w:ascii="Times New Roman" w:hAnsi="Times New Roman" w:cs="Times New Roman"/>
        </w:rPr>
        <w:t>Užsakomoji Fixus Mobilis vaizdo įrašų reklama, naudojant Google Ads (Youtube reklama). </w:t>
      </w:r>
    </w:p>
    <w:p w14:paraId="67C2BEFB" w14:textId="77777777" w:rsidR="00C03579" w:rsidRPr="00C03579" w:rsidRDefault="00C03579" w:rsidP="00F83FC3">
      <w:pPr>
        <w:numPr>
          <w:ilvl w:val="0"/>
          <w:numId w:val="22"/>
        </w:numPr>
        <w:jc w:val="both"/>
        <w:rPr>
          <w:rFonts w:ascii="Times New Roman" w:hAnsi="Times New Roman" w:cs="Times New Roman"/>
        </w:rPr>
      </w:pPr>
      <w:r w:rsidRPr="00C03579">
        <w:rPr>
          <w:rFonts w:ascii="Times New Roman" w:hAnsi="Times New Roman" w:cs="Times New Roman"/>
        </w:rPr>
        <w:t>Interaktyvūs formatų testai („Stories“, „Reels“, „Shorts“ (Google/Youtube) ir pan. bandymai, kad būtų pasiektos jaunesnės auditorijos); </w:t>
      </w:r>
    </w:p>
    <w:p w14:paraId="352590CE" w14:textId="77777777" w:rsidR="00C03579" w:rsidRPr="00C03579" w:rsidRDefault="00C03579" w:rsidP="00F83FC3">
      <w:pPr>
        <w:numPr>
          <w:ilvl w:val="0"/>
          <w:numId w:val="23"/>
        </w:numPr>
        <w:jc w:val="both"/>
        <w:rPr>
          <w:rFonts w:ascii="Times New Roman" w:hAnsi="Times New Roman" w:cs="Times New Roman"/>
        </w:rPr>
      </w:pPr>
      <w:r w:rsidRPr="00C03579">
        <w:rPr>
          <w:rFonts w:ascii="Times New Roman" w:hAnsi="Times New Roman" w:cs="Times New Roman"/>
        </w:rPr>
        <w:t>Pasiektų rezultatų ataskaitos parengimas, kurioje būtų pateikiami pagrindiniai reklamos veiksmingumo rodikliai (pvz., pasiekiamumas, parodymų skaičius, paspaudimų rodiklis (CTR), vaizdo įrašų peržiūrų skaičius ir trukmė, auditorijos demografiniai duomenys). </w:t>
      </w:r>
    </w:p>
    <w:p w14:paraId="7782E577" w14:textId="77777777" w:rsidR="00C03579" w:rsidRPr="00C03579" w:rsidRDefault="00C03579" w:rsidP="00F83FC3">
      <w:pPr>
        <w:jc w:val="both"/>
        <w:rPr>
          <w:rFonts w:ascii="Times New Roman" w:hAnsi="Times New Roman" w:cs="Times New Roman"/>
        </w:rPr>
      </w:pPr>
    </w:p>
    <w:sectPr w:rsidR="00C03579" w:rsidRPr="00C03579">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5C9D5" w14:textId="77777777" w:rsidR="001F1E89" w:rsidRDefault="001F1E89" w:rsidP="00C03579">
      <w:pPr>
        <w:spacing w:after="0" w:line="240" w:lineRule="auto"/>
      </w:pPr>
      <w:r>
        <w:separator/>
      </w:r>
    </w:p>
  </w:endnote>
  <w:endnote w:type="continuationSeparator" w:id="0">
    <w:p w14:paraId="225F94CD" w14:textId="77777777" w:rsidR="001F1E89" w:rsidRDefault="001F1E89" w:rsidP="00C0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507542"/>
      <w:docPartObj>
        <w:docPartGallery w:val="Page Numbers (Bottom of Page)"/>
        <w:docPartUnique/>
      </w:docPartObj>
    </w:sdtPr>
    <w:sdtContent>
      <w:p w14:paraId="28EF7829" w14:textId="6950A89F" w:rsidR="00C03579" w:rsidRDefault="00C03579">
        <w:pPr>
          <w:pStyle w:val="Footer"/>
          <w:jc w:val="right"/>
        </w:pPr>
        <w:r>
          <w:fldChar w:fldCharType="begin"/>
        </w:r>
        <w:r>
          <w:instrText>PAGE   \* MERGEFORMAT</w:instrText>
        </w:r>
        <w:r>
          <w:fldChar w:fldCharType="separate"/>
        </w:r>
        <w:r>
          <w:t>2</w:t>
        </w:r>
        <w:r>
          <w:fldChar w:fldCharType="end"/>
        </w:r>
      </w:p>
    </w:sdtContent>
  </w:sdt>
  <w:p w14:paraId="10911219" w14:textId="77777777" w:rsidR="00C03579" w:rsidRDefault="00C03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FAD1" w14:textId="77777777" w:rsidR="001F1E89" w:rsidRDefault="001F1E89" w:rsidP="00C03579">
      <w:pPr>
        <w:spacing w:after="0" w:line="240" w:lineRule="auto"/>
      </w:pPr>
      <w:r>
        <w:separator/>
      </w:r>
    </w:p>
  </w:footnote>
  <w:footnote w:type="continuationSeparator" w:id="0">
    <w:p w14:paraId="33FA9B51" w14:textId="77777777" w:rsidR="001F1E89" w:rsidRDefault="001F1E89" w:rsidP="00C03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B57"/>
    <w:multiLevelType w:val="multilevel"/>
    <w:tmpl w:val="F9CA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812EC"/>
    <w:multiLevelType w:val="multilevel"/>
    <w:tmpl w:val="25A69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27AA5"/>
    <w:multiLevelType w:val="multilevel"/>
    <w:tmpl w:val="AA40C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D21CB"/>
    <w:multiLevelType w:val="multilevel"/>
    <w:tmpl w:val="3F52A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A5153"/>
    <w:multiLevelType w:val="multilevel"/>
    <w:tmpl w:val="2F949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EE16C7"/>
    <w:multiLevelType w:val="multilevel"/>
    <w:tmpl w:val="FC528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86931"/>
    <w:multiLevelType w:val="multilevel"/>
    <w:tmpl w:val="92509C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00749"/>
    <w:multiLevelType w:val="multilevel"/>
    <w:tmpl w:val="60E4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71B22"/>
    <w:multiLevelType w:val="multilevel"/>
    <w:tmpl w:val="153C26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86F45"/>
    <w:multiLevelType w:val="multilevel"/>
    <w:tmpl w:val="FBE29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53C38"/>
    <w:multiLevelType w:val="multilevel"/>
    <w:tmpl w:val="F76A5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BA63D9"/>
    <w:multiLevelType w:val="multilevel"/>
    <w:tmpl w:val="866C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A52123"/>
    <w:multiLevelType w:val="multilevel"/>
    <w:tmpl w:val="EAF438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E3122"/>
    <w:multiLevelType w:val="multilevel"/>
    <w:tmpl w:val="223465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582155"/>
    <w:multiLevelType w:val="multilevel"/>
    <w:tmpl w:val="E46A3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6A0EFA"/>
    <w:multiLevelType w:val="multilevel"/>
    <w:tmpl w:val="5F1AF9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565A59"/>
    <w:multiLevelType w:val="multilevel"/>
    <w:tmpl w:val="8E6C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65D8C"/>
    <w:multiLevelType w:val="multilevel"/>
    <w:tmpl w:val="F8A6A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3761A9"/>
    <w:multiLevelType w:val="multilevel"/>
    <w:tmpl w:val="CEECD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6E67B9"/>
    <w:multiLevelType w:val="multilevel"/>
    <w:tmpl w:val="DE42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382258"/>
    <w:multiLevelType w:val="multilevel"/>
    <w:tmpl w:val="61402C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3D75FE"/>
    <w:multiLevelType w:val="multilevel"/>
    <w:tmpl w:val="E996A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AA4141"/>
    <w:multiLevelType w:val="multilevel"/>
    <w:tmpl w:val="3A1830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1746529">
    <w:abstractNumId w:val="16"/>
  </w:num>
  <w:num w:numId="2" w16cid:durableId="1275557430">
    <w:abstractNumId w:val="19"/>
  </w:num>
  <w:num w:numId="3" w16cid:durableId="432360820">
    <w:abstractNumId w:val="10"/>
  </w:num>
  <w:num w:numId="4" w16cid:durableId="1146967270">
    <w:abstractNumId w:val="5"/>
  </w:num>
  <w:num w:numId="5" w16cid:durableId="893083808">
    <w:abstractNumId w:val="13"/>
  </w:num>
  <w:num w:numId="6" w16cid:durableId="1697660359">
    <w:abstractNumId w:val="8"/>
  </w:num>
  <w:num w:numId="7" w16cid:durableId="1447776168">
    <w:abstractNumId w:val="9"/>
  </w:num>
  <w:num w:numId="8" w16cid:durableId="1843427896">
    <w:abstractNumId w:val="11"/>
  </w:num>
  <w:num w:numId="9" w16cid:durableId="1955405538">
    <w:abstractNumId w:val="2"/>
  </w:num>
  <w:num w:numId="10" w16cid:durableId="195583908">
    <w:abstractNumId w:val="22"/>
  </w:num>
  <w:num w:numId="11" w16cid:durableId="1087654390">
    <w:abstractNumId w:val="18"/>
  </w:num>
  <w:num w:numId="12" w16cid:durableId="2017069992">
    <w:abstractNumId w:val="12"/>
  </w:num>
  <w:num w:numId="13" w16cid:durableId="1558470201">
    <w:abstractNumId w:val="20"/>
  </w:num>
  <w:num w:numId="14" w16cid:durableId="2028092254">
    <w:abstractNumId w:val="0"/>
  </w:num>
  <w:num w:numId="15" w16cid:durableId="1224754236">
    <w:abstractNumId w:val="15"/>
  </w:num>
  <w:num w:numId="16" w16cid:durableId="1711606889">
    <w:abstractNumId w:val="1"/>
  </w:num>
  <w:num w:numId="17" w16cid:durableId="720634897">
    <w:abstractNumId w:val="17"/>
  </w:num>
  <w:num w:numId="18" w16cid:durableId="721559159">
    <w:abstractNumId w:val="7"/>
  </w:num>
  <w:num w:numId="19" w16cid:durableId="1245073259">
    <w:abstractNumId w:val="21"/>
  </w:num>
  <w:num w:numId="20" w16cid:durableId="1051610400">
    <w:abstractNumId w:val="4"/>
  </w:num>
  <w:num w:numId="21" w16cid:durableId="2025013266">
    <w:abstractNumId w:val="3"/>
  </w:num>
  <w:num w:numId="22" w16cid:durableId="1836414064">
    <w:abstractNumId w:val="6"/>
  </w:num>
  <w:num w:numId="23" w16cid:durableId="51932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79"/>
    <w:rsid w:val="001F1E89"/>
    <w:rsid w:val="00A073BF"/>
    <w:rsid w:val="00B67FF3"/>
    <w:rsid w:val="00C03579"/>
    <w:rsid w:val="00C460C7"/>
    <w:rsid w:val="00F83FC3"/>
    <w:rsid w:val="00F969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E914"/>
  <w15:chartTrackingRefBased/>
  <w15:docId w15:val="{E8C1AF53-D606-4ADB-AA41-CEFCB266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579"/>
    <w:rPr>
      <w:rFonts w:eastAsiaTheme="majorEastAsia" w:cstheme="majorBidi"/>
      <w:color w:val="272727" w:themeColor="text1" w:themeTint="D8"/>
    </w:rPr>
  </w:style>
  <w:style w:type="paragraph" w:styleId="Title">
    <w:name w:val="Title"/>
    <w:basedOn w:val="Normal"/>
    <w:next w:val="Normal"/>
    <w:link w:val="TitleChar"/>
    <w:uiPriority w:val="10"/>
    <w:qFormat/>
    <w:rsid w:val="00C03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579"/>
    <w:pPr>
      <w:spacing w:before="160"/>
      <w:jc w:val="center"/>
    </w:pPr>
    <w:rPr>
      <w:i/>
      <w:iCs/>
      <w:color w:val="404040" w:themeColor="text1" w:themeTint="BF"/>
    </w:rPr>
  </w:style>
  <w:style w:type="character" w:customStyle="1" w:styleId="QuoteChar">
    <w:name w:val="Quote Char"/>
    <w:basedOn w:val="DefaultParagraphFont"/>
    <w:link w:val="Quote"/>
    <w:uiPriority w:val="29"/>
    <w:rsid w:val="00C03579"/>
    <w:rPr>
      <w:i/>
      <w:iCs/>
      <w:color w:val="404040" w:themeColor="text1" w:themeTint="BF"/>
    </w:rPr>
  </w:style>
  <w:style w:type="paragraph" w:styleId="ListParagraph">
    <w:name w:val="List Paragraph"/>
    <w:basedOn w:val="Normal"/>
    <w:uiPriority w:val="34"/>
    <w:qFormat/>
    <w:rsid w:val="00C03579"/>
    <w:pPr>
      <w:ind w:left="720"/>
      <w:contextualSpacing/>
    </w:pPr>
  </w:style>
  <w:style w:type="character" w:styleId="IntenseEmphasis">
    <w:name w:val="Intense Emphasis"/>
    <w:basedOn w:val="DefaultParagraphFont"/>
    <w:uiPriority w:val="21"/>
    <w:qFormat/>
    <w:rsid w:val="00C03579"/>
    <w:rPr>
      <w:i/>
      <w:iCs/>
      <w:color w:val="0F4761" w:themeColor="accent1" w:themeShade="BF"/>
    </w:rPr>
  </w:style>
  <w:style w:type="paragraph" w:styleId="IntenseQuote">
    <w:name w:val="Intense Quote"/>
    <w:basedOn w:val="Normal"/>
    <w:next w:val="Normal"/>
    <w:link w:val="IntenseQuoteChar"/>
    <w:uiPriority w:val="30"/>
    <w:qFormat/>
    <w:rsid w:val="00C03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579"/>
    <w:rPr>
      <w:i/>
      <w:iCs/>
      <w:color w:val="0F4761" w:themeColor="accent1" w:themeShade="BF"/>
    </w:rPr>
  </w:style>
  <w:style w:type="character" w:styleId="IntenseReference">
    <w:name w:val="Intense Reference"/>
    <w:basedOn w:val="DefaultParagraphFont"/>
    <w:uiPriority w:val="32"/>
    <w:qFormat/>
    <w:rsid w:val="00C03579"/>
    <w:rPr>
      <w:b/>
      <w:bCs/>
      <w:smallCaps/>
      <w:color w:val="0F4761" w:themeColor="accent1" w:themeShade="BF"/>
      <w:spacing w:val="5"/>
    </w:rPr>
  </w:style>
  <w:style w:type="paragraph" w:styleId="Header">
    <w:name w:val="header"/>
    <w:basedOn w:val="Normal"/>
    <w:link w:val="HeaderChar"/>
    <w:uiPriority w:val="99"/>
    <w:unhideWhenUsed/>
    <w:rsid w:val="00C035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C03579"/>
  </w:style>
  <w:style w:type="paragraph" w:styleId="Footer">
    <w:name w:val="footer"/>
    <w:basedOn w:val="Normal"/>
    <w:link w:val="FooterChar"/>
    <w:uiPriority w:val="99"/>
    <w:unhideWhenUsed/>
    <w:rsid w:val="00C035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C0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Petrokaitė</dc:creator>
  <cp:lastModifiedBy>Diana Potapova</cp:lastModifiedBy>
  <cp:revision>2</cp:revision>
  <dcterms:created xsi:type="dcterms:W3CDTF">2025-10-07T15:58:00Z</dcterms:created>
  <dcterms:modified xsi:type="dcterms:W3CDTF">2025-10-07T15:58:00Z</dcterms:modified>
</cp:coreProperties>
</file>