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729" w14:textId="45C37BBA" w:rsidR="00D274D5" w:rsidRPr="00D274D5" w:rsidRDefault="00D274D5" w:rsidP="004F32D3">
      <w:pPr>
        <w:spacing w:line="360" w:lineRule="auto"/>
        <w:ind w:firstLine="0"/>
        <w:rPr>
          <w:rFonts w:ascii="Aptos" w:hAnsi="Aptos" w:cs="Times New Roman"/>
          <w:sz w:val="22"/>
          <w:szCs w:val="22"/>
        </w:rPr>
      </w:pPr>
      <w:r w:rsidRPr="00225905">
        <w:rPr>
          <w:rFonts w:ascii="Aptos" w:eastAsia="Calibri" w:hAnsi="Aptos" w:cs="Times New Roman"/>
          <w:b/>
          <w:iCs/>
          <w:sz w:val="22"/>
          <w:szCs w:val="22"/>
          <w:lang w:eastAsia="en-US"/>
        </w:rPr>
        <w:t>LABORATORINIŲ REAGENTŲ IR  PRIEMONIŲ DIAGNOSTIKAI ATLIKTI</w:t>
      </w:r>
      <w:r w:rsidRPr="00D0495C">
        <w:rPr>
          <w:rFonts w:ascii="Aptos" w:eastAsia="Calibri" w:hAnsi="Aptos" w:cs="Times New Roman"/>
          <w:b/>
          <w:iCs/>
          <w:sz w:val="22"/>
          <w:szCs w:val="22"/>
          <w:lang w:eastAsia="en-US"/>
        </w:rPr>
        <w:t xml:space="preserve"> SUTARTIS</w:t>
      </w:r>
      <w:r w:rsidRPr="00D0495C">
        <w:rPr>
          <w:rFonts w:ascii="Aptos" w:eastAsia="Times New Roman" w:hAnsi="Aptos" w:cs="Times New Roman"/>
          <w:b/>
          <w:bCs/>
          <w:sz w:val="22"/>
          <w:szCs w:val="22"/>
          <w:lang w:eastAsia="en-US"/>
        </w:rPr>
        <w:t xml:space="preserve"> Nr. 2025/A5-</w:t>
      </w:r>
    </w:p>
    <w:p w14:paraId="347B94DF" w14:textId="5001F37A"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2025 m.</w:t>
      </w:r>
      <w:r>
        <w:rPr>
          <w:rFonts w:ascii="Aptos" w:eastAsia="Times New Roman" w:hAnsi="Aptos" w:cs="Times New Roman"/>
          <w:sz w:val="22"/>
          <w:szCs w:val="22"/>
          <w:lang w:eastAsia="en-US"/>
        </w:rPr>
        <w:t xml:space="preserve"> spalio     </w:t>
      </w:r>
      <w:r w:rsidRPr="00D0495C">
        <w:rPr>
          <w:rFonts w:ascii="Aptos" w:eastAsia="Times New Roman" w:hAnsi="Aptos" w:cs="Times New Roman"/>
          <w:sz w:val="22"/>
          <w:szCs w:val="22"/>
          <w:lang w:eastAsia="en-US"/>
        </w:rPr>
        <w:t xml:space="preserve">d. </w:t>
      </w:r>
    </w:p>
    <w:p w14:paraId="040AF29A" w14:textId="77777777"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Raseiniai</w:t>
      </w:r>
    </w:p>
    <w:p w14:paraId="3309AB47" w14:textId="77777777" w:rsidR="00D274D5" w:rsidRPr="00D0495C" w:rsidRDefault="00D274D5" w:rsidP="004F32D3">
      <w:pPr>
        <w:spacing w:line="360" w:lineRule="auto"/>
        <w:ind w:firstLine="0"/>
        <w:jc w:val="center"/>
        <w:rPr>
          <w:rFonts w:ascii="Aptos" w:eastAsia="Times New Roman" w:hAnsi="Aptos" w:cs="Times New Roman"/>
          <w:b/>
          <w:bCs/>
          <w:sz w:val="22"/>
          <w:szCs w:val="22"/>
          <w:lang w:eastAsia="en-US"/>
        </w:rPr>
      </w:pPr>
    </w:p>
    <w:p w14:paraId="3973ABA3" w14:textId="5E62F33B" w:rsidR="00D274D5" w:rsidRPr="004F32D3" w:rsidRDefault="00D274D5" w:rsidP="004F32D3">
      <w:pPr>
        <w:spacing w:line="360"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Raseinių pirminės sveikatos priežiūros centras, toliau vadinamas „Pirkėju“, juridinio asmens kodas 272416130, atstovaujamas </w:t>
      </w:r>
      <w:r w:rsidR="00522925">
        <w:rPr>
          <w:rFonts w:ascii="Aptos" w:eastAsia="Calibri" w:hAnsi="Aptos" w:cs="Times New Roman"/>
          <w:sz w:val="22"/>
          <w:szCs w:val="22"/>
        </w:rPr>
        <w:t>direktoriaus Pauliaus Aukštikalnio</w:t>
      </w:r>
      <w:r w:rsidRPr="00D0495C">
        <w:rPr>
          <w:rFonts w:ascii="Aptos" w:eastAsia="Calibri" w:hAnsi="Aptos" w:cs="Times New Roman"/>
          <w:sz w:val="22"/>
          <w:szCs w:val="22"/>
        </w:rPr>
        <w:t>, veikiančio pagal patvirtintus įstaigos įstatus, ir</w:t>
      </w:r>
      <w:r w:rsidR="00522925">
        <w:rPr>
          <w:rFonts w:ascii="Aptos" w:eastAsia="Calibri" w:hAnsi="Aptos" w:cs="Times New Roman"/>
          <w:sz w:val="22"/>
          <w:szCs w:val="22"/>
        </w:rPr>
        <w:t xml:space="preserve"> UAB </w:t>
      </w:r>
      <w:r w:rsidR="00E96A0B">
        <w:rPr>
          <w:rFonts w:ascii="Aptos" w:eastAsia="Calibri" w:hAnsi="Aptos" w:cs="Times New Roman"/>
          <w:sz w:val="22"/>
          <w:szCs w:val="22"/>
        </w:rPr>
        <w:t>Mediq Lietuva</w:t>
      </w:r>
      <w:r w:rsidRPr="00D0495C">
        <w:rPr>
          <w:rFonts w:ascii="Aptos" w:eastAsia="Calibri" w:hAnsi="Aptos" w:cs="Times New Roman"/>
          <w:sz w:val="22"/>
          <w:szCs w:val="22"/>
        </w:rPr>
        <w:t>, toliau vadinama</w:t>
      </w:r>
      <w:r w:rsidR="00522925">
        <w:rPr>
          <w:rFonts w:ascii="Aptos" w:eastAsia="Calibri" w:hAnsi="Aptos" w:cs="Times New Roman"/>
          <w:sz w:val="22"/>
          <w:szCs w:val="22"/>
        </w:rPr>
        <w:t xml:space="preserve"> </w:t>
      </w:r>
      <w:r w:rsidRPr="00D0495C">
        <w:rPr>
          <w:rFonts w:ascii="Aptos" w:eastAsia="Calibri" w:hAnsi="Aptos" w:cs="Times New Roman"/>
          <w:sz w:val="22"/>
          <w:szCs w:val="22"/>
        </w:rPr>
        <w:t>„Pardavėju“, juridinio asmens kodas</w:t>
      </w:r>
      <w:r w:rsidR="00522925">
        <w:rPr>
          <w:rFonts w:ascii="Aptos" w:eastAsia="Calibri" w:hAnsi="Aptos" w:cs="Times New Roman"/>
          <w:sz w:val="22"/>
          <w:szCs w:val="22"/>
        </w:rPr>
        <w:t xml:space="preserve"> </w:t>
      </w:r>
      <w:r w:rsidR="00E96A0B">
        <w:rPr>
          <w:rFonts w:ascii="Aptos" w:eastAsia="Calibri" w:hAnsi="Aptos" w:cs="Times New Roman"/>
          <w:sz w:val="22"/>
          <w:szCs w:val="22"/>
        </w:rPr>
        <w:t>302513086</w:t>
      </w:r>
      <w:r w:rsidRPr="00D0495C">
        <w:rPr>
          <w:rFonts w:ascii="Aptos" w:eastAsia="Calibri" w:hAnsi="Aptos" w:cs="Times New Roman"/>
          <w:sz w:val="22"/>
          <w:szCs w:val="22"/>
        </w:rPr>
        <w:t xml:space="preserve">, atstovaujama </w:t>
      </w:r>
      <w:r w:rsidR="00E96A0B">
        <w:rPr>
          <w:rFonts w:ascii="Aptos" w:eastAsia="Calibri" w:hAnsi="Aptos" w:cs="Times New Roman"/>
          <w:sz w:val="22"/>
          <w:szCs w:val="22"/>
        </w:rPr>
        <w:t xml:space="preserve">vykdančiojo </w:t>
      </w:r>
      <w:r w:rsidRPr="00D0495C">
        <w:rPr>
          <w:rFonts w:ascii="Aptos" w:eastAsia="Calibri" w:hAnsi="Aptos" w:cs="Times New Roman"/>
          <w:sz w:val="22"/>
          <w:szCs w:val="22"/>
        </w:rPr>
        <w:t>direktor</w:t>
      </w:r>
      <w:r w:rsidR="00E96A0B">
        <w:rPr>
          <w:rFonts w:ascii="Aptos" w:eastAsia="Calibri" w:hAnsi="Aptos" w:cs="Times New Roman"/>
          <w:sz w:val="22"/>
          <w:szCs w:val="22"/>
        </w:rPr>
        <w:t>iaus Viliaus Grikšo</w:t>
      </w:r>
      <w:r w:rsidRPr="00D0495C">
        <w:rPr>
          <w:rFonts w:ascii="Aptos" w:eastAsia="Calibri" w:hAnsi="Aptos" w:cs="Times New Roman"/>
          <w:sz w:val="22"/>
          <w:szCs w:val="22"/>
        </w:rPr>
        <w:t>, veikiančio pagal</w:t>
      </w:r>
      <w:r w:rsidR="00522925">
        <w:rPr>
          <w:rFonts w:ascii="Aptos" w:eastAsia="Calibri" w:hAnsi="Aptos" w:cs="Times New Roman"/>
          <w:sz w:val="22"/>
          <w:szCs w:val="22"/>
        </w:rPr>
        <w:t xml:space="preserve"> patvirtintus įmonės įstatus</w:t>
      </w:r>
      <w:r w:rsidRPr="00D0495C">
        <w:rPr>
          <w:rFonts w:ascii="Aptos" w:eastAsia="Calibri" w:hAnsi="Aptos" w:cs="Times New Roman"/>
          <w:sz w:val="22"/>
          <w:szCs w:val="22"/>
        </w:rPr>
        <w:t>, toliau sutartyje Pirkėjas ir Pardavėjas kartu vadinami Šalimis, o atskirai – Šalimi, sudarė šią sutartį (toliau – Sutartis).</w:t>
      </w:r>
    </w:p>
    <w:p w14:paraId="258C6216" w14:textId="77777777" w:rsidR="00D274D5" w:rsidRPr="00D0495C" w:rsidRDefault="00D274D5" w:rsidP="004F32D3">
      <w:pPr>
        <w:spacing w:line="360"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159B9F9D" w14:textId="77C61AA6"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1.1. Pardavėjas įsipareigoja, pagal Pirkėjo pateikiamą užsakymą, vadovaujantis mažos vertės pirkimo (pirkimo </w:t>
      </w:r>
      <w:r w:rsidR="00522925">
        <w:rPr>
          <w:rFonts w:ascii="Aptos" w:eastAsia="Times New Roman" w:hAnsi="Aptos" w:cs="Times New Roman"/>
          <w:sz w:val="22"/>
          <w:szCs w:val="22"/>
          <w:lang w:eastAsia="en-US"/>
        </w:rPr>
        <w:t>ID4595379</w:t>
      </w:r>
      <w:r w:rsidRPr="00D0495C">
        <w:rPr>
          <w:rFonts w:ascii="Aptos" w:eastAsia="Times New Roman" w:hAnsi="Aptos" w:cs="Times New Roman"/>
          <w:sz w:val="22"/>
          <w:szCs w:val="22"/>
          <w:lang w:eastAsia="en-US"/>
        </w:rPr>
        <w:t>)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0E4717A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58638F20"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29A0DDED" w14:textId="05F94DDE"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w:t>
      </w:r>
    </w:p>
    <w:p w14:paraId="1B6E9781" w14:textId="7C738997"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5</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115B99D7" w14:textId="4C5D5112" w:rsidR="00D274D5" w:rsidRPr="00D0495C" w:rsidRDefault="00D274D5" w:rsidP="004F32D3">
      <w:pPr>
        <w:spacing w:line="360"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6</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r w:rsidR="004F32D3">
        <w:rPr>
          <w:rFonts w:ascii="Aptos" w:eastAsia="Calibri" w:hAnsi="Aptos" w:cs="Times New Roman"/>
          <w:sz w:val="22"/>
          <w:szCs w:val="22"/>
        </w:rPr>
        <w:t>.</w:t>
      </w:r>
    </w:p>
    <w:p w14:paraId="02297499"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0B6ABA7F" w14:textId="439EA13D"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w:t>
      </w:r>
      <w:r w:rsidR="00B115F6">
        <w:rPr>
          <w:rFonts w:ascii="Aptos" w:eastAsia="Calibri" w:hAnsi="Aptos" w:cs="Times New Roman"/>
          <w:sz w:val="22"/>
          <w:szCs w:val="22"/>
          <w:lang w:eastAsia="ar-SA"/>
        </w:rPr>
        <w:t xml:space="preserve"> </w:t>
      </w:r>
      <w:r w:rsidR="00A94302">
        <w:rPr>
          <w:rFonts w:ascii="Aptos" w:eastAsia="Calibri" w:hAnsi="Aptos" w:cs="Times New Roman"/>
          <w:sz w:val="22"/>
          <w:szCs w:val="22"/>
          <w:lang w:eastAsia="ar-SA"/>
        </w:rPr>
        <w:t>255,95</w:t>
      </w:r>
      <w:r w:rsidRPr="00D0495C">
        <w:rPr>
          <w:rFonts w:ascii="Aptos" w:eastAsia="Calibri" w:hAnsi="Aptos" w:cs="Times New Roman"/>
          <w:sz w:val="22"/>
          <w:szCs w:val="22"/>
          <w:lang w:eastAsia="ar-SA"/>
        </w:rPr>
        <w:t xml:space="preserve"> Eur su PVM</w:t>
      </w:r>
      <w:r w:rsidR="00915667">
        <w:rPr>
          <w:rFonts w:ascii="Aptos" w:eastAsia="Calibri" w:hAnsi="Aptos" w:cs="Times New Roman"/>
          <w:sz w:val="22"/>
          <w:szCs w:val="22"/>
          <w:lang w:eastAsia="ar-SA"/>
        </w:rPr>
        <w:t xml:space="preserve">, </w:t>
      </w:r>
      <w:r w:rsidR="00915667" w:rsidRPr="006A103A">
        <w:rPr>
          <w:rFonts w:ascii="Aptos" w:eastAsia="Calibri" w:hAnsi="Aptos" w:cs="Times New Roman"/>
          <w:sz w:val="22"/>
          <w:szCs w:val="22"/>
          <w:lang w:eastAsia="ar-SA"/>
        </w:rPr>
        <w:t xml:space="preserve">iš kurių PVM sudaro </w:t>
      </w:r>
      <w:r w:rsidR="006A103A" w:rsidRPr="006A103A">
        <w:rPr>
          <w:rFonts w:ascii="Aptos" w:eastAsia="Calibri" w:hAnsi="Aptos" w:cs="Times New Roman"/>
          <w:sz w:val="22"/>
          <w:szCs w:val="22"/>
          <w:lang w:eastAsia="ar-SA"/>
        </w:rPr>
        <w:t>12,95</w:t>
      </w:r>
      <w:r w:rsidR="00915667" w:rsidRPr="006A103A">
        <w:rPr>
          <w:rFonts w:ascii="Aptos" w:eastAsia="Calibri" w:hAnsi="Aptos" w:cs="Times New Roman"/>
          <w:sz w:val="22"/>
          <w:szCs w:val="22"/>
          <w:lang w:eastAsia="ar-SA"/>
        </w:rPr>
        <w:t xml:space="preserve"> Eur</w:t>
      </w:r>
      <w:r w:rsidR="008F2601">
        <w:rPr>
          <w:rFonts w:ascii="Aptos" w:eastAsia="Calibri" w:hAnsi="Aptos" w:cs="Times New Roman"/>
          <w:sz w:val="22"/>
          <w:szCs w:val="22"/>
          <w:lang w:eastAsia="ar-SA"/>
        </w:rPr>
        <w:t>.</w:t>
      </w:r>
      <w:r w:rsidR="00E96A0B" w:rsidRPr="00D0495C">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Detalūs prekių fiksuoti įkainiai nurodyti Sutarties  priede Nr. 1.</w:t>
      </w:r>
    </w:p>
    <w:p w14:paraId="1881545C"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348E1D1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4AFDBCA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033A2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68ADFF8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762FE66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6A62B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FDAB96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1507486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5370B8A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266801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F070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4AC20E4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11AA6661" w14:textId="77777777" w:rsidR="00D274D5" w:rsidRPr="00D0495C" w:rsidRDefault="00D274D5" w:rsidP="004F32D3">
      <w:pPr>
        <w:spacing w:line="360" w:lineRule="auto"/>
        <w:ind w:firstLine="0"/>
        <w:rPr>
          <w:rFonts w:ascii="Aptos" w:eastAsia="Times New Roman" w:hAnsi="Aptos" w:cs="Times New Roman"/>
          <w:sz w:val="22"/>
          <w:szCs w:val="22"/>
          <w:lang w:eastAsia="en-US"/>
        </w:rPr>
      </w:pPr>
    </w:p>
    <w:p w14:paraId="51264DA3" w14:textId="77777777" w:rsidR="00D274D5" w:rsidRPr="00D0495C" w:rsidRDefault="00D274D5" w:rsidP="004F32D3">
      <w:pPr>
        <w:spacing w:line="360"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lastRenderedPageBreak/>
        <w:t>III. PREKIŲ TEIKIMO IR PRIĖMIMO TVARKA</w:t>
      </w:r>
    </w:p>
    <w:p w14:paraId="457D3B1C"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3.1. Prekes pateikti Pirkėjo užsakymu per 7 (septynias) darbo dienas nuo užsakymo pateikimo dienos, adresu Žemaitės g. 2 60127 Raseiniai.</w:t>
      </w:r>
    </w:p>
    <w:p w14:paraId="7051734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FC0E114" w14:textId="77777777" w:rsidR="00D274D5" w:rsidRPr="00D0495C" w:rsidRDefault="00D274D5" w:rsidP="004F32D3">
      <w:pPr>
        <w:spacing w:line="360"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2587BE91" w14:textId="77777777" w:rsidR="00D274D5" w:rsidRPr="00D0495C" w:rsidRDefault="00D274D5" w:rsidP="004F32D3">
      <w:pPr>
        <w:spacing w:line="360"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08CA93E8" w14:textId="0EBEC509" w:rsidR="00D274D5" w:rsidRPr="00414F86" w:rsidRDefault="00D274D5" w:rsidP="00414F86">
      <w:pPr>
        <w:spacing w:line="360"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5E98D983"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28DD5334"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4DCDB8D9"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8393732"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7607553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25E5B2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35EF08B4" w14:textId="47999ECB" w:rsidR="00D274D5" w:rsidRPr="00D0495C"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2E2DB696"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2AC2602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7DEE77F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407D8F2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5.1.2. Sutarties galiojimo metu pagal poreikį teikti atskirus užsakymus dėl perkamų Prekių kiekio pristatymo. Prekių užsakymai Pardavėjui teikiami telefonu arba el. paštu;</w:t>
      </w:r>
    </w:p>
    <w:p w14:paraId="2BEABE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678D2A2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2D978B3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29C47D6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20C53C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DF7C8D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05E009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7ECA7BC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38FC07E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37C88EE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41DEC5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2AFF70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2494B49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77DFD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5.3.3. savo sąskaita pakeisti netinkamos kokybės Prekes tinkamos kokybės Prekėmis, jei atvežtos Prekės netinkamos kokybės arba neatitinka Sutarties sąlygose ir techninėje specifikacijoje nustatytų reikalavimų;</w:t>
      </w:r>
    </w:p>
    <w:p w14:paraId="6065B5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38F68E0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65B36B8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2F30CA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7DD07E6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428EBBE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78CAFEC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1E9C25A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675D5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0296B3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6A7860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4F89A65D" w14:textId="6EC00B2F"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596E62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5908A1DD"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3B367580"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33467DA7"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lastRenderedPageBreak/>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324F3474"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60E02AB" w14:textId="547C92CC" w:rsidR="00D274D5" w:rsidRPr="004F32D3"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2893229" w14:textId="77777777" w:rsidR="00D274D5" w:rsidRPr="00D0495C" w:rsidRDefault="00D274D5" w:rsidP="004F32D3">
      <w:pPr>
        <w:suppressAutoHyphens/>
        <w:spacing w:line="360"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745639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2ADB09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300DEA9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746DDBE1" w14:textId="6B6DB83F" w:rsidR="00D274D5" w:rsidRPr="00414F86"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359947C4"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462FBF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proofErr w:type="spellStart"/>
      <w:r w:rsidRPr="00D0495C">
        <w:rPr>
          <w:rFonts w:ascii="Aptos" w:eastAsia="Calibri" w:hAnsi="Aptos" w:cs="Times New Roman"/>
          <w:sz w:val="22"/>
          <w:szCs w:val="22"/>
          <w:lang w:eastAsia="ar-SA"/>
        </w:rPr>
        <w:t>Laureta</w:t>
      </w:r>
      <w:proofErr w:type="spellEnd"/>
      <w:r w:rsidRPr="00D0495C">
        <w:rPr>
          <w:rFonts w:ascii="Aptos" w:eastAsia="Calibri" w:hAnsi="Aptos" w:cs="Times New Roman"/>
          <w:sz w:val="22"/>
          <w:szCs w:val="22"/>
          <w:lang w:eastAsia="ar-SA"/>
        </w:rPr>
        <w:t xml:space="preserve"> </w:t>
      </w:r>
      <w:proofErr w:type="spellStart"/>
      <w:r w:rsidRPr="00D0495C">
        <w:rPr>
          <w:rFonts w:ascii="Aptos" w:eastAsia="Calibri" w:hAnsi="Aptos" w:cs="Times New Roman"/>
          <w:sz w:val="22"/>
          <w:szCs w:val="22"/>
          <w:lang w:eastAsia="ar-SA"/>
        </w:rPr>
        <w:t>Mickūnienė</w:t>
      </w:r>
      <w:proofErr w:type="spellEnd"/>
      <w:r w:rsidRPr="00D0495C">
        <w:rPr>
          <w:rFonts w:ascii="Aptos" w:eastAsia="Calibri" w:hAnsi="Aptos" w:cs="Times New Roman"/>
          <w:sz w:val="22"/>
          <w:szCs w:val="22"/>
          <w:lang w:eastAsia="ar-SA"/>
        </w:rPr>
        <w:t xml:space="preserve">, biomedicinos technologė, el. paštas </w:t>
      </w:r>
      <w:hyperlink r:id="rId6" w:history="1">
        <w:r w:rsidRPr="00D0495C">
          <w:rPr>
            <w:rFonts w:ascii="Aptos" w:eastAsia="Calibri" w:hAnsi="Aptos" w:cs="Times New Roman"/>
            <w:color w:val="0563C1" w:themeColor="hyperlink"/>
            <w:sz w:val="22"/>
            <w:szCs w:val="22"/>
            <w:u w:val="single"/>
            <w:lang w:eastAsia="ar-SA"/>
          </w:rPr>
          <w:t>laureta.mickuniene</w:t>
        </w:r>
        <w:r w:rsidRPr="006A103A">
          <w:rPr>
            <w:rFonts w:ascii="Aptos" w:eastAsia="Calibri" w:hAnsi="Aptos" w:cs="Times New Roman"/>
            <w:color w:val="0563C1" w:themeColor="hyperlink"/>
            <w:sz w:val="22"/>
            <w:szCs w:val="22"/>
            <w:u w:val="single"/>
            <w:lang w:eastAsia="ar-SA"/>
          </w:rPr>
          <w:t>@rpspc.lt</w:t>
        </w:r>
      </w:hyperlink>
      <w:r w:rsidRPr="006A103A">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tel. Nr. 0 428 57914.</w:t>
      </w:r>
    </w:p>
    <w:p w14:paraId="746879A2" w14:textId="29CB0DCB" w:rsidR="00D274D5" w:rsidRPr="00D0495C" w:rsidRDefault="00D274D5" w:rsidP="006A103A">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r w:rsidR="006A103A" w:rsidRPr="006A103A">
        <w:rPr>
          <w:rFonts w:ascii="Aptos" w:eastAsia="Calibri" w:hAnsi="Aptos" w:cs="Times New Roman"/>
          <w:sz w:val="22"/>
          <w:szCs w:val="22"/>
          <w:lang w:eastAsia="ar-SA"/>
        </w:rPr>
        <w:t xml:space="preserve">užsakymų vadybininkė Loreta Mickevičienė, el. paštas </w:t>
      </w:r>
      <w:hyperlink r:id="rId7" w:history="1">
        <w:r w:rsidR="006A103A" w:rsidRPr="006A103A">
          <w:rPr>
            <w:rStyle w:val="Hyperlink"/>
            <w:rFonts w:ascii="Aptos" w:eastAsia="Calibri" w:hAnsi="Aptos" w:cs="Times New Roman"/>
            <w:sz w:val="22"/>
            <w:szCs w:val="22"/>
            <w:lang w:eastAsia="ar-SA"/>
          </w:rPr>
          <w:t>loreta.mickeviciene@mediq.com</w:t>
        </w:r>
      </w:hyperlink>
      <w:r w:rsidR="006A103A" w:rsidRPr="006A103A">
        <w:rPr>
          <w:rFonts w:ascii="Aptos" w:eastAsia="Calibri" w:hAnsi="Aptos" w:cs="Times New Roman"/>
          <w:sz w:val="22"/>
          <w:szCs w:val="22"/>
          <w:lang w:eastAsia="ar-SA"/>
        </w:rPr>
        <w:t>, tel. (0 5) 268 8451</w:t>
      </w:r>
    </w:p>
    <w:p w14:paraId="670F2C5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C2411F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1ED30C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FE9D04D" w14:textId="04DAAF1D"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8.6. Jei pasikeičia Šalies adresas ir/ar kiti duomenys, tokia Šalis turi informuoti kitą Šalį pranešdama ne vėliau, kaip prieš </w:t>
      </w:r>
      <w:r w:rsidR="00A40738">
        <w:rPr>
          <w:rFonts w:ascii="Aptos" w:eastAsia="Calibri" w:hAnsi="Aptos" w:cs="Times New Roman"/>
          <w:sz w:val="22"/>
          <w:szCs w:val="22"/>
          <w:lang w:eastAsia="ar-SA"/>
        </w:rPr>
        <w:t>3</w:t>
      </w:r>
      <w:r w:rsidRPr="00D0495C">
        <w:rPr>
          <w:rFonts w:ascii="Aptos" w:eastAsia="Calibri" w:hAnsi="Aptos" w:cs="Times New Roman"/>
          <w:sz w:val="22"/>
          <w:szCs w:val="22"/>
          <w:lang w:eastAsia="ar-SA"/>
        </w:rPr>
        <w:t xml:space="preserve"> (</w:t>
      </w:r>
      <w:r w:rsidR="00A40738">
        <w:rPr>
          <w:rFonts w:ascii="Aptos" w:eastAsia="Calibri" w:hAnsi="Aptos" w:cs="Times New Roman"/>
          <w:sz w:val="22"/>
          <w:szCs w:val="22"/>
          <w:lang w:eastAsia="ar-SA"/>
        </w:rPr>
        <w:t>tris</w:t>
      </w:r>
      <w:r w:rsidRPr="00D0495C">
        <w:rPr>
          <w:rFonts w:ascii="Aptos" w:eastAsia="Calibri" w:hAnsi="Aptos" w:cs="Times New Roman"/>
          <w:sz w:val="22"/>
          <w:szCs w:val="22"/>
          <w:lang w:eastAsia="ar-SA"/>
        </w:rPr>
        <w:t>)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D2CAFB"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2EF152DC" w14:textId="6B42354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B04849B"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760217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Pr>
          <w:rFonts w:ascii="Aptos" w:eastAsia="Calibri" w:hAnsi="Aptos" w:cs="Times New Roman"/>
          <w:sz w:val="22"/>
          <w:szCs w:val="22"/>
          <w:lang w:eastAsia="ar-SA"/>
        </w:rPr>
        <w:t>24</w:t>
      </w:r>
      <w:r w:rsidRPr="00D0495C">
        <w:rPr>
          <w:rFonts w:ascii="Aptos" w:eastAsia="Calibri" w:hAnsi="Aptos" w:cs="Times New Roman"/>
          <w:sz w:val="22"/>
          <w:szCs w:val="22"/>
          <w:lang w:eastAsia="ar-SA"/>
        </w:rPr>
        <w:t xml:space="preserve"> (d</w:t>
      </w:r>
      <w:r>
        <w:rPr>
          <w:rFonts w:ascii="Aptos" w:eastAsia="Calibri" w:hAnsi="Aptos" w:cs="Times New Roman"/>
          <w:sz w:val="22"/>
          <w:szCs w:val="22"/>
          <w:lang w:eastAsia="ar-SA"/>
        </w:rPr>
        <w:t>videšimt keturis</w:t>
      </w:r>
      <w:r w:rsidRPr="00D0495C">
        <w:rPr>
          <w:rFonts w:ascii="Aptos" w:eastAsia="Calibri" w:hAnsi="Aptos" w:cs="Times New Roman"/>
          <w:sz w:val="22"/>
          <w:szCs w:val="22"/>
          <w:lang w:eastAsia="ar-SA"/>
        </w:rPr>
        <w:t>) mėn.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3DF0FFD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193AF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C842A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12B1548A" w14:textId="77777777" w:rsidR="00D274D5" w:rsidRPr="00D0495C" w:rsidRDefault="00D274D5" w:rsidP="004F32D3">
      <w:pPr>
        <w:suppressAutoHyphens/>
        <w:spacing w:line="360"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3804E63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F0062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CC84F7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B9E194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58E5D9A0" w14:textId="6603EB3E" w:rsidR="004F32D3" w:rsidRPr="004F32D3"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11911597"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05F5F87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484A4A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650A4D0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573996C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575A219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37C77AC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ABD940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11.5. Šalys įsipareigoja neatskleisti tretiesiems asmenims Sutarties turinio ir kitos informacijos, susijusios su Sutarties sudarymu ir vykdymu, be išankstinio kitos Šalies sutikimo, išskyrus Lietuvos Respublikos teisės aktų nustatytus atvejus.</w:t>
      </w:r>
    </w:p>
    <w:p w14:paraId="55E4E72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49847A8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7A5DE2E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7ED607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69042D89" w14:textId="3F6497B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Judeikienė, viešųjų pirkimų organizatorė, el. paštas </w:t>
      </w:r>
      <w:hyperlink r:id="rId8" w:history="1">
        <w:r w:rsidRPr="00D0495C">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viktorija.judeikiene</w:t>
        </w:r>
        <w:r w:rsidRPr="006A103A">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@rpspc.lt</w:t>
        </w:r>
      </w:hyperlink>
      <w:r w:rsidRPr="006A103A">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tel. Nr. (8 428) 57 942.</w:t>
      </w:r>
    </w:p>
    <w:p w14:paraId="6053D8B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0BAE505C"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94D8568" w14:textId="77777777" w:rsidR="00D274D5" w:rsidRPr="00D0495C" w:rsidRDefault="00D274D5" w:rsidP="004F32D3">
      <w:pPr>
        <w:pBdr>
          <w:top w:val="nil"/>
          <w:left w:val="nil"/>
          <w:bottom w:val="nil"/>
          <w:right w:val="nil"/>
          <w:between w:val="nil"/>
          <w:bar w:val="nil"/>
        </w:pBdr>
        <w:suppressAutoHyphens/>
        <w:spacing w:line="360"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D96D544" w14:textId="1F7FD196" w:rsidR="004F32D3" w:rsidRPr="004F32D3" w:rsidRDefault="00D274D5" w:rsidP="004F32D3">
      <w:pPr>
        <w:pBdr>
          <w:top w:val="nil"/>
          <w:left w:val="nil"/>
          <w:bottom w:val="nil"/>
          <w:right w:val="nil"/>
          <w:between w:val="nil"/>
          <w:bar w:val="nil"/>
        </w:pBdr>
        <w:suppressAutoHyphens/>
        <w:spacing w:line="360"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1E807F7A" w14:textId="77777777" w:rsidR="004F32D3" w:rsidRPr="000F6B6D" w:rsidRDefault="004F32D3" w:rsidP="004F32D3">
      <w:pPr>
        <w:suppressAutoHyphens/>
        <w:spacing w:line="360" w:lineRule="auto"/>
        <w:ind w:firstLine="0"/>
        <w:rPr>
          <w:rFonts w:ascii="Aptos" w:hAnsi="Aptos" w:cs="Times New Roman"/>
          <w:b/>
          <w:bCs/>
          <w:sz w:val="22"/>
          <w:szCs w:val="22"/>
          <w:lang w:eastAsia="ar-SA"/>
        </w:rPr>
      </w:pPr>
      <w:r w:rsidRPr="00D0495C">
        <w:rPr>
          <w:rFonts w:ascii="Aptos" w:hAnsi="Aptos" w:cs="Times New Roman"/>
          <w:b/>
          <w:bCs/>
          <w:sz w:val="22"/>
          <w:szCs w:val="22"/>
          <w:lang w:eastAsia="ar-SA"/>
        </w:rPr>
        <w:t>PANAUDOS GAVĖJAS</w:t>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Pr>
          <w:rFonts w:ascii="Aptos" w:hAnsi="Aptos" w:cs="Times New Roman"/>
          <w:b/>
          <w:bCs/>
          <w:sz w:val="22"/>
          <w:szCs w:val="22"/>
          <w:lang w:eastAsia="ar-SA"/>
        </w:rPr>
        <w:tab/>
      </w:r>
      <w:r w:rsidRPr="00D0495C">
        <w:rPr>
          <w:rFonts w:ascii="Aptos" w:hAnsi="Aptos" w:cs="Times New Roman"/>
          <w:b/>
          <w:bCs/>
          <w:sz w:val="22"/>
          <w:szCs w:val="22"/>
          <w:lang w:eastAsia="ar-SA"/>
        </w:rPr>
        <w:t>PANAUDOS DAVĖJAS</w:t>
      </w:r>
    </w:p>
    <w:p w14:paraId="42A722D8" w14:textId="56539D1A" w:rsidR="004F32D3" w:rsidRPr="00D0495C" w:rsidRDefault="004F32D3" w:rsidP="004F32D3">
      <w:pPr>
        <w:spacing w:line="360" w:lineRule="auto"/>
        <w:ind w:firstLine="0"/>
        <w:rPr>
          <w:rFonts w:ascii="Aptos" w:hAnsi="Aptos" w:cs="Times New Roman"/>
          <w:sz w:val="22"/>
          <w:szCs w:val="22"/>
        </w:rPr>
      </w:pPr>
      <w:r>
        <w:rPr>
          <w:rFonts w:ascii="Aptos" w:hAnsi="Aptos" w:cs="Times New Roman"/>
          <w:sz w:val="22"/>
          <w:szCs w:val="22"/>
        </w:rPr>
        <w:t>VšĮ Raseinių pirminės sveikatos priežiūros centras</w:t>
      </w:r>
      <w:r>
        <w:rPr>
          <w:rFonts w:ascii="Aptos" w:hAnsi="Aptos" w:cs="Times New Roman"/>
          <w:sz w:val="22"/>
          <w:szCs w:val="22"/>
        </w:rPr>
        <w:tab/>
      </w:r>
      <w:r>
        <w:rPr>
          <w:rFonts w:ascii="Aptos" w:hAnsi="Aptos" w:cs="Times New Roman"/>
          <w:sz w:val="22"/>
          <w:szCs w:val="22"/>
        </w:rPr>
        <w:tab/>
        <w:t xml:space="preserve">UAB </w:t>
      </w:r>
      <w:r w:rsidR="00E646EB">
        <w:rPr>
          <w:rFonts w:ascii="Aptos" w:hAnsi="Aptos" w:cs="Times New Roman"/>
          <w:sz w:val="22"/>
          <w:szCs w:val="22"/>
        </w:rPr>
        <w:t>Mediq Lietuva</w:t>
      </w:r>
    </w:p>
    <w:p w14:paraId="20F082CD" w14:textId="4AA8E63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Įstaigos kodas 272416130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Įmonės kodas </w:t>
      </w:r>
      <w:r w:rsidR="00E646EB">
        <w:rPr>
          <w:rFonts w:ascii="Aptos" w:eastAsiaTheme="minorHAnsi" w:hAnsi="Aptos" w:cs="Arial"/>
          <w:bCs/>
          <w:iCs/>
          <w:sz w:val="22"/>
          <w:szCs w:val="22"/>
        </w:rPr>
        <w:t>302513086</w:t>
      </w:r>
    </w:p>
    <w:p w14:paraId="45D6AD24" w14:textId="64A3D8B4"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Mokėtojo kodas LT</w:t>
      </w:r>
      <w:r w:rsidR="00E646EB">
        <w:rPr>
          <w:rFonts w:ascii="Aptos" w:eastAsiaTheme="minorHAnsi" w:hAnsi="Aptos" w:cs="Arial"/>
          <w:bCs/>
          <w:iCs/>
          <w:sz w:val="22"/>
          <w:szCs w:val="22"/>
        </w:rPr>
        <w:t>100005456916</w:t>
      </w:r>
    </w:p>
    <w:p w14:paraId="57BD2088" w14:textId="17879B98"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Adresas Žemaitės g. 2, Raseiniai</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Adresas </w:t>
      </w:r>
      <w:r w:rsidR="00E646EB">
        <w:rPr>
          <w:rFonts w:ascii="Aptos" w:eastAsiaTheme="minorHAnsi" w:hAnsi="Aptos" w:cs="Arial"/>
          <w:bCs/>
          <w:iCs/>
          <w:sz w:val="22"/>
          <w:szCs w:val="22"/>
        </w:rPr>
        <w:t>Kolektyvo g. 15-20, Vilnius</w:t>
      </w:r>
    </w:p>
    <w:p w14:paraId="0D95F52D" w14:textId="27C6F4F5" w:rsidR="004F32D3" w:rsidRPr="006A103A" w:rsidRDefault="004F32D3" w:rsidP="004F32D3">
      <w:pPr>
        <w:spacing w:line="360" w:lineRule="auto"/>
        <w:ind w:firstLine="0"/>
        <w:rPr>
          <w:rFonts w:ascii="Aptos" w:eastAsiaTheme="minorHAnsi" w:hAnsi="Aptos" w:cs="Arial"/>
          <w:bCs/>
          <w:iCs/>
          <w:sz w:val="22"/>
          <w:szCs w:val="22"/>
          <w:lang w:val="nl-NL"/>
        </w:rPr>
      </w:pPr>
      <w:r>
        <w:rPr>
          <w:rFonts w:ascii="Aptos" w:eastAsiaTheme="minorHAnsi" w:hAnsi="Aptos" w:cs="Arial"/>
          <w:bCs/>
          <w:iCs/>
          <w:sz w:val="22"/>
          <w:szCs w:val="22"/>
        </w:rPr>
        <w:t xml:space="preserve">El. p. </w:t>
      </w:r>
      <w:hyperlink r:id="rId9" w:history="1">
        <w:r w:rsidRPr="00863F2C">
          <w:rPr>
            <w:rStyle w:val="Hyperlink"/>
            <w:rFonts w:ascii="Aptos" w:eastAsiaTheme="minorHAnsi" w:hAnsi="Aptos" w:cs="Arial"/>
            <w:bCs/>
            <w:iCs/>
            <w:sz w:val="22"/>
            <w:szCs w:val="22"/>
          </w:rPr>
          <w:t>raseiniai</w:t>
        </w:r>
        <w:r w:rsidRPr="006A103A">
          <w:rPr>
            <w:rStyle w:val="Hyperlink"/>
            <w:rFonts w:ascii="Aptos" w:eastAsiaTheme="minorHAnsi" w:hAnsi="Aptos" w:cs="Arial"/>
            <w:bCs/>
            <w:iCs/>
            <w:sz w:val="22"/>
            <w:szCs w:val="22"/>
            <w:lang w:val="nl-NL"/>
          </w:rPr>
          <w:t>@rpspc.lt</w:t>
        </w:r>
      </w:hyperlink>
      <w:r w:rsidRPr="006A103A">
        <w:rPr>
          <w:rFonts w:ascii="Aptos" w:eastAsiaTheme="minorHAnsi" w:hAnsi="Aptos" w:cs="Arial"/>
          <w:bCs/>
          <w:iCs/>
          <w:sz w:val="22"/>
          <w:szCs w:val="22"/>
          <w:lang w:val="nl-NL"/>
        </w:rPr>
        <w:t xml:space="preserve"> </w:t>
      </w:r>
      <w:r w:rsidRPr="006A103A">
        <w:rPr>
          <w:rFonts w:ascii="Aptos" w:eastAsiaTheme="minorHAnsi" w:hAnsi="Aptos" w:cs="Arial"/>
          <w:bCs/>
          <w:iCs/>
          <w:sz w:val="22"/>
          <w:szCs w:val="22"/>
          <w:lang w:val="nl-NL"/>
        </w:rPr>
        <w:tab/>
      </w:r>
      <w:r w:rsidRPr="006A103A">
        <w:rPr>
          <w:rFonts w:ascii="Aptos" w:eastAsiaTheme="minorHAnsi" w:hAnsi="Aptos" w:cs="Arial"/>
          <w:bCs/>
          <w:iCs/>
          <w:sz w:val="22"/>
          <w:szCs w:val="22"/>
          <w:lang w:val="nl-NL"/>
        </w:rPr>
        <w:tab/>
      </w:r>
      <w:r w:rsidRPr="006A103A">
        <w:rPr>
          <w:rFonts w:ascii="Aptos" w:eastAsiaTheme="minorHAnsi" w:hAnsi="Aptos" w:cs="Arial"/>
          <w:bCs/>
          <w:iCs/>
          <w:sz w:val="22"/>
          <w:szCs w:val="22"/>
          <w:lang w:val="nl-NL"/>
        </w:rPr>
        <w:tab/>
      </w:r>
      <w:r w:rsidRPr="006A103A">
        <w:rPr>
          <w:rFonts w:ascii="Aptos" w:eastAsiaTheme="minorHAnsi" w:hAnsi="Aptos" w:cs="Arial"/>
          <w:bCs/>
          <w:iCs/>
          <w:sz w:val="22"/>
          <w:szCs w:val="22"/>
          <w:lang w:val="nl-NL"/>
        </w:rPr>
        <w:tab/>
      </w:r>
      <w:r w:rsidRPr="006A103A">
        <w:rPr>
          <w:rFonts w:ascii="Aptos" w:eastAsiaTheme="minorHAnsi" w:hAnsi="Aptos" w:cs="Arial"/>
          <w:bCs/>
          <w:iCs/>
          <w:sz w:val="22"/>
          <w:szCs w:val="22"/>
          <w:lang w:val="nl-NL"/>
        </w:rPr>
        <w:tab/>
        <w:t xml:space="preserve">El. p. </w:t>
      </w:r>
      <w:hyperlink r:id="rId10" w:history="1">
        <w:r w:rsidR="00E646EB" w:rsidRPr="00E646EB">
          <w:rPr>
            <w:rStyle w:val="Hyperlink"/>
            <w:rFonts w:ascii="Aptos" w:hAnsi="Aptos"/>
            <w:sz w:val="22"/>
            <w:szCs w:val="22"/>
          </w:rPr>
          <w:t>mediqlietuva</w:t>
        </w:r>
        <w:r w:rsidR="00E646EB" w:rsidRPr="006A103A">
          <w:rPr>
            <w:rStyle w:val="Hyperlink"/>
            <w:rFonts w:ascii="Aptos" w:hAnsi="Aptos"/>
            <w:sz w:val="22"/>
            <w:szCs w:val="22"/>
            <w:lang w:val="nl-NL"/>
          </w:rPr>
          <w:t>@mediq.com</w:t>
        </w:r>
      </w:hyperlink>
      <w:r w:rsidR="00E646EB" w:rsidRPr="006A103A">
        <w:rPr>
          <w:lang w:val="nl-NL"/>
        </w:rPr>
        <w:t xml:space="preserve"> </w:t>
      </w:r>
    </w:p>
    <w:p w14:paraId="4CEB64D0" w14:textId="67E9C2D2"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Tel. Nr. 0 428 57 914</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Tel. Nr. 0 </w:t>
      </w:r>
      <w:r w:rsidR="00E646EB">
        <w:rPr>
          <w:rFonts w:ascii="Aptos" w:eastAsiaTheme="minorHAnsi" w:hAnsi="Aptos" w:cs="Arial"/>
          <w:bCs/>
          <w:iCs/>
          <w:sz w:val="22"/>
          <w:szCs w:val="22"/>
        </w:rPr>
        <w:t>5 268 8451</w:t>
      </w:r>
    </w:p>
    <w:p w14:paraId="7D875281" w14:textId="1D673E6D" w:rsidR="004F32D3" w:rsidRDefault="004F32D3" w:rsidP="004F32D3">
      <w:pPr>
        <w:spacing w:line="360" w:lineRule="auto"/>
        <w:ind w:firstLine="0"/>
        <w:rPr>
          <w:rFonts w:ascii="Aptos" w:eastAsiaTheme="minorHAnsi" w:hAnsi="Aptos" w:cs="Arial"/>
          <w:bCs/>
          <w:iCs/>
          <w:sz w:val="22"/>
          <w:szCs w:val="22"/>
        </w:rPr>
      </w:pPr>
      <w:r w:rsidRPr="001C27A9">
        <w:rPr>
          <w:rFonts w:ascii="Aptos" w:hAnsi="Aptos" w:cs="Arial"/>
          <w:bCs/>
          <w:iCs/>
          <w:sz w:val="22"/>
          <w:szCs w:val="22"/>
        </w:rPr>
        <w:t>A.</w:t>
      </w:r>
      <w:r>
        <w:rPr>
          <w:rFonts w:ascii="Aptos" w:hAnsi="Aptos" w:cs="Arial"/>
          <w:bCs/>
          <w:iCs/>
          <w:sz w:val="22"/>
          <w:szCs w:val="22"/>
        </w:rPr>
        <w:t xml:space="preserve"> </w:t>
      </w:r>
      <w:r w:rsidRPr="001C27A9">
        <w:rPr>
          <w:rFonts w:ascii="Aptos" w:hAnsi="Aptos" w:cs="Arial"/>
          <w:bCs/>
          <w:iCs/>
          <w:sz w:val="22"/>
          <w:szCs w:val="22"/>
        </w:rPr>
        <w:t>S.</w:t>
      </w:r>
      <w:r w:rsidRPr="001C27A9">
        <w:rPr>
          <w:rFonts w:ascii="Aptos" w:hAnsi="Aptos" w:cs="Arial"/>
          <w:bCs/>
          <w:iCs/>
          <w:sz w:val="20"/>
          <w:szCs w:val="20"/>
        </w:rPr>
        <w:t xml:space="preserve"> </w:t>
      </w:r>
      <w:r w:rsidRPr="001C27A9">
        <w:rPr>
          <w:rFonts w:ascii="Aptos" w:hAnsi="Aptos" w:cs="Times New Roman"/>
          <w:color w:val="222222"/>
          <w:sz w:val="22"/>
          <w:szCs w:val="22"/>
        </w:rPr>
        <w:t>LT947300010134443080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A. S. LT</w:t>
      </w:r>
      <w:r w:rsidR="00E646EB">
        <w:rPr>
          <w:rFonts w:ascii="Aptos" w:eastAsiaTheme="minorHAnsi" w:hAnsi="Aptos" w:cs="Arial"/>
          <w:bCs/>
          <w:iCs/>
          <w:sz w:val="22"/>
          <w:szCs w:val="22"/>
        </w:rPr>
        <w:t>297044090104301880</w:t>
      </w:r>
    </w:p>
    <w:p w14:paraId="4B7521FD" w14:textId="138CBCF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Bankas AB „SWEDBANK“</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Pr="00E646EB">
        <w:rPr>
          <w:rFonts w:ascii="Aptos" w:eastAsiaTheme="minorHAnsi" w:hAnsi="Aptos" w:cs="Arial"/>
          <w:bCs/>
          <w:iCs/>
          <w:sz w:val="22"/>
          <w:szCs w:val="22"/>
        </w:rPr>
        <w:t xml:space="preserve">Bankas </w:t>
      </w:r>
      <w:r w:rsidR="00E646EB" w:rsidRPr="00E646EB">
        <w:rPr>
          <w:rFonts w:ascii="Aptos" w:eastAsiaTheme="minorHAnsi" w:hAnsi="Aptos" w:cs="Arial"/>
          <w:bCs/>
          <w:iCs/>
          <w:sz w:val="22"/>
          <w:szCs w:val="22"/>
        </w:rPr>
        <w:t>AB</w:t>
      </w:r>
      <w:r w:rsidR="00E646EB">
        <w:rPr>
          <w:rFonts w:ascii="Aptos" w:eastAsiaTheme="minorHAnsi" w:hAnsi="Aptos" w:cs="Arial"/>
          <w:bCs/>
          <w:iCs/>
          <w:sz w:val="22"/>
          <w:szCs w:val="22"/>
        </w:rPr>
        <w:t xml:space="preserve"> SEB</w:t>
      </w:r>
    </w:p>
    <w:p w14:paraId="67A5BBF4" w14:textId="77777777" w:rsidR="004F32D3" w:rsidRDefault="004F32D3" w:rsidP="004F32D3">
      <w:pPr>
        <w:spacing w:line="360" w:lineRule="auto"/>
        <w:ind w:firstLine="0"/>
        <w:rPr>
          <w:rFonts w:ascii="Aptos" w:eastAsiaTheme="minorHAnsi" w:hAnsi="Aptos" w:cs="Arial"/>
          <w:bCs/>
          <w:iCs/>
          <w:sz w:val="22"/>
          <w:szCs w:val="22"/>
        </w:rPr>
      </w:pPr>
    </w:p>
    <w:p w14:paraId="5C285FB3" w14:textId="1E8857C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Direktorius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Vykdantysis direktorius</w:t>
      </w:r>
    </w:p>
    <w:p w14:paraId="13EC2AA0" w14:textId="2516A75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Paulius Aukštikalnis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Vilius Grikšas</w:t>
      </w:r>
    </w:p>
    <w:p w14:paraId="4EEEDC27" w14:textId="7D641FE6" w:rsidR="006A103A" w:rsidRDefault="006A103A">
      <w:pPr>
        <w:spacing w:after="160" w:line="278" w:lineRule="auto"/>
        <w:ind w:firstLine="0"/>
        <w:jc w:val="left"/>
        <w:rPr>
          <w:rFonts w:ascii="Aptos" w:eastAsiaTheme="minorHAnsi" w:hAnsi="Aptos" w:cs="Arial"/>
          <w:bCs/>
          <w:iCs/>
          <w:sz w:val="22"/>
          <w:szCs w:val="22"/>
        </w:rPr>
      </w:pPr>
      <w:r>
        <w:rPr>
          <w:rFonts w:ascii="Aptos" w:eastAsiaTheme="minorHAnsi" w:hAnsi="Aptos" w:cs="Arial"/>
          <w:bCs/>
          <w:iCs/>
          <w:sz w:val="22"/>
          <w:szCs w:val="22"/>
        </w:rPr>
        <w:br w:type="page"/>
      </w:r>
    </w:p>
    <w:p w14:paraId="21F8E2AF" w14:textId="081E2461" w:rsidR="00386042" w:rsidRDefault="00386042" w:rsidP="00414F86">
      <w:pPr>
        <w:spacing w:line="360" w:lineRule="auto"/>
        <w:ind w:firstLine="0"/>
        <w:jc w:val="right"/>
        <w:rPr>
          <w:rFonts w:ascii="Aptos" w:eastAsiaTheme="minorHAnsi" w:hAnsi="Aptos" w:cs="Arial"/>
          <w:bCs/>
          <w:iCs/>
          <w:sz w:val="22"/>
          <w:szCs w:val="22"/>
        </w:rPr>
        <w:sectPr w:rsidR="00386042" w:rsidSect="00522925">
          <w:headerReference w:type="default" r:id="rId11"/>
          <w:pgSz w:w="12240" w:h="15840"/>
          <w:pgMar w:top="1134" w:right="851" w:bottom="1134" w:left="1701" w:header="720" w:footer="720" w:gutter="0"/>
          <w:cols w:space="720"/>
          <w:titlePg/>
          <w:docGrid w:linePitch="360"/>
        </w:sectPr>
      </w:pPr>
    </w:p>
    <w:p w14:paraId="25D5838C" w14:textId="77777777" w:rsidR="006A103A" w:rsidRDefault="006A103A" w:rsidP="00414F86">
      <w:pPr>
        <w:spacing w:line="360" w:lineRule="auto"/>
        <w:ind w:firstLine="0"/>
        <w:jc w:val="right"/>
        <w:rPr>
          <w:rFonts w:ascii="Aptos" w:eastAsiaTheme="minorHAnsi" w:hAnsi="Aptos" w:cs="Arial"/>
          <w:bCs/>
          <w:iCs/>
          <w:sz w:val="22"/>
          <w:szCs w:val="22"/>
        </w:rPr>
      </w:pPr>
    </w:p>
    <w:p w14:paraId="28BC9657" w14:textId="696A15DC" w:rsidR="00414F86" w:rsidRDefault="00414F86" w:rsidP="00414F86">
      <w:pPr>
        <w:spacing w:line="360" w:lineRule="auto"/>
        <w:ind w:firstLine="0"/>
        <w:jc w:val="right"/>
        <w:rPr>
          <w:rFonts w:ascii="Aptos" w:eastAsiaTheme="minorHAnsi" w:hAnsi="Aptos" w:cs="Arial"/>
          <w:bCs/>
          <w:iCs/>
          <w:sz w:val="22"/>
          <w:szCs w:val="22"/>
        </w:rPr>
      </w:pPr>
      <w:r>
        <w:rPr>
          <w:rFonts w:ascii="Aptos" w:eastAsiaTheme="minorHAnsi" w:hAnsi="Aptos" w:cs="Arial"/>
          <w:bCs/>
          <w:iCs/>
          <w:sz w:val="22"/>
          <w:szCs w:val="22"/>
        </w:rPr>
        <w:t>Priedas Nr. 1 „Pardavėjo pasiūlymas“</w:t>
      </w:r>
    </w:p>
    <w:p w14:paraId="4476AD69" w14:textId="77777777" w:rsidR="00717F05" w:rsidRDefault="00717F05" w:rsidP="00414F86">
      <w:pPr>
        <w:spacing w:line="360" w:lineRule="auto"/>
        <w:ind w:firstLine="0"/>
        <w:rPr>
          <w:rFonts w:ascii="Aptos" w:eastAsiaTheme="minorHAnsi" w:hAnsi="Aptos" w:cs="Arial"/>
          <w:bCs/>
          <w:iCs/>
          <w:sz w:val="22"/>
          <w:szCs w:val="22"/>
        </w:rPr>
      </w:pPr>
    </w:p>
    <w:p w14:paraId="5F125929" w14:textId="648FCEB6" w:rsidR="00717F05" w:rsidRPr="00DA5E8B" w:rsidRDefault="00CE4A78" w:rsidP="00717F05">
      <w:pPr>
        <w:spacing w:line="240" w:lineRule="auto"/>
        <w:ind w:firstLine="0"/>
        <w:jc w:val="center"/>
        <w:rPr>
          <w:rFonts w:ascii="Aptos" w:eastAsia="Times New Roman" w:hAnsi="Aptos" w:cs="Times New Roman"/>
          <w:b/>
          <w:bCs/>
          <w:sz w:val="22"/>
          <w:szCs w:val="22"/>
        </w:rPr>
      </w:pPr>
      <w:r>
        <w:rPr>
          <w:rFonts w:ascii="Aptos" w:eastAsia="Times New Roman" w:hAnsi="Aptos" w:cs="Times New Roman"/>
          <w:b/>
          <w:bCs/>
          <w:sz w:val="22"/>
          <w:szCs w:val="22"/>
        </w:rPr>
        <w:t>7</w:t>
      </w:r>
      <w:r w:rsidR="00717F05" w:rsidRPr="00DA5E8B">
        <w:rPr>
          <w:rFonts w:ascii="Aptos" w:eastAsia="Times New Roman" w:hAnsi="Aptos" w:cs="Times New Roman"/>
          <w:b/>
          <w:bCs/>
          <w:sz w:val="22"/>
          <w:szCs w:val="22"/>
        </w:rPr>
        <w:t xml:space="preserve"> PIRKIMO DALIS </w:t>
      </w:r>
    </w:p>
    <w:p w14:paraId="4A21695C" w14:textId="5EF816AC" w:rsidR="00E734A1" w:rsidRPr="00B019C3" w:rsidRDefault="00065006" w:rsidP="006A103A">
      <w:pPr>
        <w:spacing w:line="360" w:lineRule="auto"/>
        <w:ind w:firstLine="0"/>
        <w:jc w:val="center"/>
        <w:rPr>
          <w:rFonts w:ascii="Aptos" w:hAnsi="Aptos" w:cs="Times New Roman"/>
          <w:sz w:val="22"/>
          <w:szCs w:val="22"/>
        </w:rPr>
      </w:pPr>
      <w:r>
        <w:rPr>
          <w:rFonts w:ascii="Aptos" w:eastAsiaTheme="minorHAnsi" w:hAnsi="Aptos" w:cs="Arial"/>
          <w:bCs/>
          <w:iCs/>
          <w:noProof/>
          <w:sz w:val="22"/>
          <w:szCs w:val="22"/>
          <w:lang w:val="en-US"/>
          <w14:ligatures w14:val="standardContextual"/>
        </w:rPr>
        <w:drawing>
          <wp:inline distT="0" distB="0" distL="0" distR="0" wp14:anchorId="74E7297F" wp14:editId="156BADD2">
            <wp:extent cx="5181600" cy="7329304"/>
            <wp:effectExtent l="0" t="6985" r="0" b="0"/>
            <wp:docPr id="949286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8650" name="Paveikslėlis 9492865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5186345" cy="7336015"/>
                    </a:xfrm>
                    <a:prstGeom prst="rect">
                      <a:avLst/>
                    </a:prstGeom>
                  </pic:spPr>
                </pic:pic>
              </a:graphicData>
            </a:graphic>
          </wp:inline>
        </w:drawing>
      </w:r>
    </w:p>
    <w:sectPr w:rsidR="00E734A1" w:rsidRPr="00B019C3" w:rsidSect="006A103A">
      <w:pgSz w:w="15840" w:h="12240" w:orient="landscape"/>
      <w:pgMar w:top="170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9935" w14:textId="77777777" w:rsidR="000B05B9" w:rsidRDefault="000B05B9" w:rsidP="00D274D5">
      <w:pPr>
        <w:spacing w:line="240" w:lineRule="auto"/>
      </w:pPr>
      <w:r>
        <w:separator/>
      </w:r>
    </w:p>
  </w:endnote>
  <w:endnote w:type="continuationSeparator" w:id="0">
    <w:p w14:paraId="28AAA36D" w14:textId="77777777" w:rsidR="000B05B9" w:rsidRDefault="000B05B9" w:rsidP="00D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BC4A" w14:textId="77777777" w:rsidR="000B05B9" w:rsidRDefault="000B05B9" w:rsidP="00D274D5">
      <w:pPr>
        <w:spacing w:line="240" w:lineRule="auto"/>
      </w:pPr>
      <w:r>
        <w:separator/>
      </w:r>
    </w:p>
  </w:footnote>
  <w:footnote w:type="continuationSeparator" w:id="0">
    <w:p w14:paraId="723B2614" w14:textId="77777777" w:rsidR="000B05B9" w:rsidRDefault="000B05B9" w:rsidP="00D27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0869"/>
      <w:docPartObj>
        <w:docPartGallery w:val="Page Numbers (Top of Page)"/>
        <w:docPartUnique/>
      </w:docPartObj>
    </w:sdtPr>
    <w:sdtContent>
      <w:p w14:paraId="6AD76AA5" w14:textId="1109C8BF" w:rsidR="00D274D5" w:rsidRDefault="00D274D5">
        <w:pPr>
          <w:pStyle w:val="Header"/>
          <w:jc w:val="center"/>
        </w:pPr>
        <w:r>
          <w:fldChar w:fldCharType="begin"/>
        </w:r>
        <w:r>
          <w:instrText>PAGE   \* MERGEFORMAT</w:instrText>
        </w:r>
        <w:r>
          <w:fldChar w:fldCharType="separate"/>
        </w:r>
        <w:r>
          <w:t>2</w:t>
        </w:r>
        <w:r>
          <w:fldChar w:fldCharType="end"/>
        </w:r>
      </w:p>
    </w:sdtContent>
  </w:sdt>
  <w:p w14:paraId="5DEEC6E6" w14:textId="77777777" w:rsidR="00D274D5" w:rsidRDefault="00D2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7"/>
    <w:rsid w:val="00037BC4"/>
    <w:rsid w:val="00065006"/>
    <w:rsid w:val="000B05B9"/>
    <w:rsid w:val="000C38A9"/>
    <w:rsid w:val="001B0F20"/>
    <w:rsid w:val="001D5D87"/>
    <w:rsid w:val="00226B00"/>
    <w:rsid w:val="003135E4"/>
    <w:rsid w:val="0032070A"/>
    <w:rsid w:val="00386042"/>
    <w:rsid w:val="00414F86"/>
    <w:rsid w:val="004F32D3"/>
    <w:rsid w:val="00522925"/>
    <w:rsid w:val="00542A67"/>
    <w:rsid w:val="00583A33"/>
    <w:rsid w:val="006A103A"/>
    <w:rsid w:val="00704F10"/>
    <w:rsid w:val="00717F05"/>
    <w:rsid w:val="0072736C"/>
    <w:rsid w:val="00784829"/>
    <w:rsid w:val="008F2601"/>
    <w:rsid w:val="00915667"/>
    <w:rsid w:val="009E4702"/>
    <w:rsid w:val="00A40738"/>
    <w:rsid w:val="00A635A7"/>
    <w:rsid w:val="00A94302"/>
    <w:rsid w:val="00AC1500"/>
    <w:rsid w:val="00AE3435"/>
    <w:rsid w:val="00B019C3"/>
    <w:rsid w:val="00B115F6"/>
    <w:rsid w:val="00CE4A78"/>
    <w:rsid w:val="00D21E57"/>
    <w:rsid w:val="00D274D5"/>
    <w:rsid w:val="00D621C8"/>
    <w:rsid w:val="00D7089C"/>
    <w:rsid w:val="00DA5F59"/>
    <w:rsid w:val="00E32DEC"/>
    <w:rsid w:val="00E33AB7"/>
    <w:rsid w:val="00E646EB"/>
    <w:rsid w:val="00E734A1"/>
    <w:rsid w:val="00E96A0B"/>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6AFD"/>
  <w15:chartTrackingRefBased/>
  <w15:docId w15:val="{55B177AF-62C0-488E-9490-200CA0F1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D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21E5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21E5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21E57"/>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21E57"/>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21E57"/>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21E5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21E57"/>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21E57"/>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21E57"/>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7"/>
    <w:rPr>
      <w:rFonts w:eastAsiaTheme="majorEastAsia" w:cstheme="majorBidi"/>
      <w:color w:val="272727" w:themeColor="text1" w:themeTint="D8"/>
    </w:rPr>
  </w:style>
  <w:style w:type="paragraph" w:styleId="Title">
    <w:name w:val="Title"/>
    <w:basedOn w:val="Normal"/>
    <w:next w:val="Normal"/>
    <w:link w:val="TitleChar"/>
    <w:uiPriority w:val="10"/>
    <w:qFormat/>
    <w:rsid w:val="00D21E57"/>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1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7"/>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1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7"/>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21E57"/>
    <w:rPr>
      <w:i/>
      <w:iCs/>
      <w:color w:val="404040" w:themeColor="text1" w:themeTint="BF"/>
    </w:rPr>
  </w:style>
  <w:style w:type="paragraph" w:styleId="ListParagraph">
    <w:name w:val="List Paragraph"/>
    <w:basedOn w:val="Normal"/>
    <w:uiPriority w:val="34"/>
    <w:qFormat/>
    <w:rsid w:val="00D21E57"/>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D21E57"/>
    <w:rPr>
      <w:i/>
      <w:iCs/>
      <w:color w:val="2F5496" w:themeColor="accent1" w:themeShade="BF"/>
    </w:rPr>
  </w:style>
  <w:style w:type="paragraph" w:styleId="IntenseQuote">
    <w:name w:val="Intense Quote"/>
    <w:basedOn w:val="Normal"/>
    <w:next w:val="Normal"/>
    <w:link w:val="IntenseQuoteChar"/>
    <w:uiPriority w:val="30"/>
    <w:qFormat/>
    <w:rsid w:val="00D21E5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21E57"/>
    <w:rPr>
      <w:i/>
      <w:iCs/>
      <w:color w:val="2F5496" w:themeColor="accent1" w:themeShade="BF"/>
    </w:rPr>
  </w:style>
  <w:style w:type="character" w:styleId="IntenseReference">
    <w:name w:val="Intense Reference"/>
    <w:basedOn w:val="DefaultParagraphFont"/>
    <w:uiPriority w:val="32"/>
    <w:qFormat/>
    <w:rsid w:val="00D21E57"/>
    <w:rPr>
      <w:b/>
      <w:bCs/>
      <w:smallCaps/>
      <w:color w:val="2F5496" w:themeColor="accent1" w:themeShade="BF"/>
      <w:spacing w:val="5"/>
    </w:rPr>
  </w:style>
  <w:style w:type="paragraph" w:styleId="NoSpacing">
    <w:name w:val="No Spacing"/>
    <w:link w:val="NoSpacingChar"/>
    <w:uiPriority w:val="1"/>
    <w:qFormat/>
    <w:rsid w:val="00D274D5"/>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D274D5"/>
    <w:rPr>
      <w:rFonts w:eastAsiaTheme="minorEastAsia"/>
      <w:kern w:val="0"/>
      <w:sz w:val="21"/>
      <w:szCs w:val="21"/>
      <w:lang w:val="lt-LT" w:eastAsia="lt-LT"/>
      <w14:ligatures w14:val="none"/>
    </w:rPr>
  </w:style>
  <w:style w:type="paragraph" w:styleId="Header">
    <w:name w:val="header"/>
    <w:basedOn w:val="Normal"/>
    <w:link w:val="HeaderChar"/>
    <w:uiPriority w:val="99"/>
    <w:unhideWhenUsed/>
    <w:rsid w:val="00D274D5"/>
    <w:pPr>
      <w:tabs>
        <w:tab w:val="center" w:pos="4680"/>
        <w:tab w:val="right" w:pos="9360"/>
      </w:tabs>
      <w:spacing w:line="240" w:lineRule="auto"/>
    </w:pPr>
  </w:style>
  <w:style w:type="character" w:customStyle="1" w:styleId="HeaderChar">
    <w:name w:val="Header Char"/>
    <w:basedOn w:val="DefaultParagraphFont"/>
    <w:link w:val="Header"/>
    <w:uiPriority w:val="99"/>
    <w:rsid w:val="00D274D5"/>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D274D5"/>
    <w:pPr>
      <w:tabs>
        <w:tab w:val="center" w:pos="4680"/>
        <w:tab w:val="right" w:pos="9360"/>
      </w:tabs>
      <w:spacing w:line="240" w:lineRule="auto"/>
    </w:pPr>
  </w:style>
  <w:style w:type="character" w:customStyle="1" w:styleId="FooterChar">
    <w:name w:val="Footer Char"/>
    <w:basedOn w:val="DefaultParagraphFont"/>
    <w:link w:val="Footer"/>
    <w:uiPriority w:val="99"/>
    <w:rsid w:val="00D274D5"/>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4F32D3"/>
    <w:rPr>
      <w:strike w:val="0"/>
      <w:dstrike w:val="0"/>
      <w:color w:val="auto"/>
      <w:u w:val="none"/>
      <w:effect w:val="none"/>
    </w:rPr>
  </w:style>
  <w:style w:type="paragraph" w:customStyle="1" w:styleId="TableContents">
    <w:name w:val="Table Contents"/>
    <w:basedOn w:val="Normal"/>
    <w:rsid w:val="00386042"/>
    <w:pPr>
      <w:widowControl w:val="0"/>
      <w:suppressLineNumbers/>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Standard">
    <w:name w:val="Standard"/>
    <w:rsid w:val="00583A33"/>
    <w:pPr>
      <w:widowControl w:val="0"/>
      <w:suppressAutoHyphens/>
      <w:autoSpaceDN w:val="0"/>
      <w:spacing w:after="0" w:line="240" w:lineRule="auto"/>
    </w:pPr>
    <w:rPr>
      <w:rFonts w:ascii="Times New Roman" w:eastAsia="Andale Sans UI" w:hAnsi="Times New Roman" w:cs="Tahoma"/>
      <w:kern w:val="3"/>
      <w:lang w:bidi="en-US"/>
      <w14:ligatures w14:val="none"/>
    </w:rPr>
  </w:style>
  <w:style w:type="character" w:styleId="UnresolvedMention">
    <w:name w:val="Unresolved Mention"/>
    <w:basedOn w:val="DefaultParagraphFont"/>
    <w:uiPriority w:val="99"/>
    <w:semiHidden/>
    <w:unhideWhenUsed/>
    <w:rsid w:val="00E6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deikiene@rpspc.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reta.mickeviciene@mediq.com"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ta.mickuniene@rpspc.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ediqlietuva@mediq.com" TargetMode="External"/><Relationship Id="rId4" Type="http://schemas.openxmlformats.org/officeDocument/2006/relationships/footnotes" Target="footnotes.xml"/><Relationship Id="rId9" Type="http://schemas.openxmlformats.org/officeDocument/2006/relationships/hyperlink" Target="mailto:raseiniai@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13836</Words>
  <Characters>7888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Rinkeviciene, Inga</cp:lastModifiedBy>
  <cp:revision>2</cp:revision>
  <dcterms:created xsi:type="dcterms:W3CDTF">2025-10-13T08:12:00Z</dcterms:created>
  <dcterms:modified xsi:type="dcterms:W3CDTF">2025-10-13T08:12:00Z</dcterms:modified>
</cp:coreProperties>
</file>