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„Unidentas“</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Senasis Ukmergės kelias 4, Užubalių k. Vilniaus raj. LT-14302, tel.85 2734491, faks. 85 2732239, el. paštas dental@unidentas.lt,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„Unidentas“</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Senasis Ukmergės kelias 4, Užubalių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5C75B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/Pastaba. Pildoma, jei tiekėjas ketina pasitelkti  subtiekėją (-us)/</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 xml:space="preserve">Subtiekėjo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pacing w:val="-4"/>
                <w:sz w:val="24"/>
                <w:szCs w:val="24"/>
              </w:rPr>
              <w:t>Subtiekėjo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subtiekėją (-us)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710BE" w:rsidRPr="00D6687D" w:rsidRDefault="007710BE"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7D78F0">
        <w:rPr>
          <w:rFonts w:ascii="Times New Roman" w:hAnsi="Times New Roman" w:cs="Times New Roman"/>
          <w:b/>
        </w:rPr>
        <w:t>Pirkimo dalis Nr.</w:t>
      </w:r>
      <w:r w:rsidR="008121FD" w:rsidRPr="007D78F0">
        <w:rPr>
          <w:rFonts w:ascii="Times New Roman" w:hAnsi="Times New Roman" w:cs="Times New Roman"/>
          <w:b/>
        </w:rPr>
        <w:t>16</w:t>
      </w:r>
      <w:r w:rsidRPr="007D78F0">
        <w:rPr>
          <w:rFonts w:ascii="Times New Roman" w:hAnsi="Times New Roman" w:cs="Times New Roman"/>
          <w:b/>
        </w:rPr>
        <w:t xml:space="preserve"> – Endodontijos instrumentai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90"/>
        <w:gridCol w:w="2379"/>
        <w:gridCol w:w="2064"/>
        <w:gridCol w:w="1284"/>
        <w:gridCol w:w="872"/>
        <w:gridCol w:w="1027"/>
        <w:gridCol w:w="1165"/>
        <w:gridCol w:w="1227"/>
        <w:gridCol w:w="1033"/>
        <w:gridCol w:w="1033"/>
        <w:gridCol w:w="1001"/>
        <w:gridCol w:w="1026"/>
      </w:tblGrid>
      <w:tr w:rsidR="00D6687D" w:rsidRPr="00D6687D" w:rsidTr="0062164C">
        <w:trPr>
          <w:trHeight w:val="1424"/>
        </w:trPr>
        <w:tc>
          <w:tcPr>
            <w:tcW w:w="7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469"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0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128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87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027"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116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1001"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1026"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62164C">
        <w:trPr>
          <w:trHeight w:val="906"/>
        </w:trPr>
        <w:tc>
          <w:tcPr>
            <w:tcW w:w="727" w:type="dxa"/>
            <w:shd w:val="clear" w:color="auto" w:fill="auto"/>
          </w:tcPr>
          <w:p w:rsidR="007710BE" w:rsidRPr="00D6687D" w:rsidRDefault="008121FD" w:rsidP="00ED03B9">
            <w:pPr>
              <w:rPr>
                <w:rFonts w:ascii="Times New Roman" w:hAnsi="Times New Roman" w:cs="Times New Roman"/>
              </w:rPr>
            </w:pPr>
            <w:r>
              <w:rPr>
                <w:rFonts w:ascii="Times New Roman" w:hAnsi="Times New Roman" w:cs="Times New Roman"/>
              </w:rPr>
              <w:t>16</w:t>
            </w:r>
            <w:r w:rsidR="007710BE" w:rsidRPr="00D6687D">
              <w:rPr>
                <w:rFonts w:ascii="Times New Roman" w:hAnsi="Times New Roman" w:cs="Times New Roman"/>
              </w:rPr>
              <w:t>.1</w:t>
            </w:r>
          </w:p>
        </w:tc>
        <w:tc>
          <w:tcPr>
            <w:tcW w:w="2469"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Wave. One File (arba lygiavertės)  dildės</w:t>
            </w:r>
          </w:p>
        </w:tc>
        <w:tc>
          <w:tcPr>
            <w:tcW w:w="20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Mažos  (021.06)</w:t>
            </w:r>
          </w:p>
        </w:tc>
        <w:tc>
          <w:tcPr>
            <w:tcW w:w="128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872" w:type="dxa"/>
            <w:shd w:val="clear" w:color="auto" w:fill="auto"/>
          </w:tcPr>
          <w:p w:rsidR="007710BE" w:rsidRPr="00D6687D" w:rsidRDefault="00FB4C5A" w:rsidP="00ED03B9">
            <w:pPr>
              <w:rPr>
                <w:rFonts w:ascii="Times New Roman" w:hAnsi="Times New Roman" w:cs="Times New Roman"/>
              </w:rPr>
            </w:pPr>
            <w:r>
              <w:rPr>
                <w:rFonts w:ascii="Times New Roman" w:hAnsi="Times New Roman" w:cs="Times New Roman"/>
              </w:rPr>
              <w:t>4</w:t>
            </w:r>
            <w:r w:rsidR="007710BE" w:rsidRPr="00D6687D">
              <w:rPr>
                <w:rFonts w:ascii="Times New Roman" w:hAnsi="Times New Roman" w:cs="Times New Roman"/>
              </w:rPr>
              <w:t>0</w:t>
            </w:r>
          </w:p>
        </w:tc>
        <w:tc>
          <w:tcPr>
            <w:tcW w:w="1027" w:type="dxa"/>
          </w:tcPr>
          <w:p w:rsidR="007710BE" w:rsidRDefault="006F2ABC" w:rsidP="00ED03B9">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6F2ABC" w:rsidRPr="00D6687D" w:rsidRDefault="006F2ABC" w:rsidP="00ED03B9">
            <w:pPr>
              <w:rPr>
                <w:rFonts w:ascii="Times New Roman" w:hAnsi="Times New Roman" w:cs="Times New Roman"/>
              </w:rPr>
            </w:pPr>
            <w:r>
              <w:rPr>
                <w:rFonts w:ascii="Times New Roman" w:hAnsi="Times New Roman" w:cs="Times New Roman"/>
              </w:rPr>
              <w:t>66</w:t>
            </w:r>
            <w:r w:rsidR="008D28E2">
              <w:rPr>
                <w:rFonts w:ascii="Times New Roman" w:hAnsi="Times New Roman" w:cs="Times New Roman"/>
              </w:rPr>
              <w:t>,00</w:t>
            </w:r>
            <w:r>
              <w:rPr>
                <w:rFonts w:ascii="Times New Roman" w:hAnsi="Times New Roman" w:cs="Times New Roman"/>
              </w:rPr>
              <w:t xml:space="preserve"> eur</w:t>
            </w:r>
          </w:p>
        </w:tc>
        <w:tc>
          <w:tcPr>
            <w:tcW w:w="1165" w:type="dxa"/>
            <w:shd w:val="clear" w:color="auto" w:fill="auto"/>
          </w:tcPr>
          <w:p w:rsidR="007710BE" w:rsidRDefault="006F2ABC" w:rsidP="00ED03B9">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6F2ABC" w:rsidRPr="00D6687D" w:rsidRDefault="006F2ABC" w:rsidP="00ED03B9">
            <w:pPr>
              <w:rPr>
                <w:rFonts w:ascii="Times New Roman" w:hAnsi="Times New Roman" w:cs="Times New Roman"/>
              </w:rPr>
            </w:pPr>
            <w:r>
              <w:rPr>
                <w:rFonts w:ascii="Times New Roman" w:hAnsi="Times New Roman" w:cs="Times New Roman"/>
              </w:rPr>
              <w:t>79,86 eur</w:t>
            </w:r>
          </w:p>
        </w:tc>
        <w:tc>
          <w:tcPr>
            <w:tcW w:w="1227" w:type="dxa"/>
            <w:shd w:val="clear" w:color="auto" w:fill="auto"/>
          </w:tcPr>
          <w:p w:rsidR="007710BE" w:rsidRDefault="006F2ABC" w:rsidP="00ED03B9">
            <w:pPr>
              <w:rPr>
                <w:rFonts w:ascii="Times New Roman" w:hAnsi="Times New Roman" w:cs="Times New Roman"/>
              </w:rPr>
            </w:pPr>
            <w:r>
              <w:rPr>
                <w:rFonts w:ascii="Times New Roman" w:hAnsi="Times New Roman" w:cs="Times New Roman"/>
              </w:rPr>
              <w:t>Maillefer,</w:t>
            </w:r>
          </w:p>
          <w:p w:rsidR="006F2ABC" w:rsidRPr="00D6687D" w:rsidRDefault="006F2ABC" w:rsidP="00ED03B9">
            <w:pPr>
              <w:rPr>
                <w:rFonts w:ascii="Times New Roman" w:hAnsi="Times New Roman" w:cs="Times New Roman"/>
              </w:rPr>
            </w:pPr>
            <w:r w:rsidRPr="006F2ABC">
              <w:rPr>
                <w:rFonts w:ascii="Times New Roman" w:hAnsi="Times New Roman" w:cs="Times New Roman"/>
              </w:rPr>
              <w:t>Waveone Gold</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11,00</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13,31</w:t>
            </w:r>
          </w:p>
        </w:tc>
        <w:tc>
          <w:tcPr>
            <w:tcW w:w="1001"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440,00</w:t>
            </w:r>
          </w:p>
        </w:tc>
        <w:tc>
          <w:tcPr>
            <w:tcW w:w="1026"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532,40</w:t>
            </w:r>
          </w:p>
        </w:tc>
      </w:tr>
      <w:tr w:rsidR="00D6687D" w:rsidRPr="00D6687D" w:rsidTr="0062164C">
        <w:trPr>
          <w:trHeight w:val="446"/>
        </w:trPr>
        <w:tc>
          <w:tcPr>
            <w:tcW w:w="727" w:type="dxa"/>
            <w:shd w:val="clear" w:color="auto" w:fill="auto"/>
          </w:tcPr>
          <w:p w:rsidR="007710BE" w:rsidRPr="00D6687D" w:rsidRDefault="008121FD" w:rsidP="00ED03B9">
            <w:pPr>
              <w:rPr>
                <w:rFonts w:ascii="Times New Roman" w:hAnsi="Times New Roman" w:cs="Times New Roman"/>
              </w:rPr>
            </w:pPr>
            <w:r>
              <w:rPr>
                <w:rFonts w:ascii="Times New Roman" w:hAnsi="Times New Roman" w:cs="Times New Roman"/>
              </w:rPr>
              <w:t>16</w:t>
            </w:r>
            <w:r w:rsidR="007710BE" w:rsidRPr="00D6687D">
              <w:rPr>
                <w:rFonts w:ascii="Times New Roman" w:hAnsi="Times New Roman" w:cs="Times New Roman"/>
              </w:rPr>
              <w:t>.2</w:t>
            </w:r>
          </w:p>
        </w:tc>
        <w:tc>
          <w:tcPr>
            <w:tcW w:w="2469"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Wave. One File (arba lygiavertės)  dildės</w:t>
            </w:r>
          </w:p>
        </w:tc>
        <w:tc>
          <w:tcPr>
            <w:tcW w:w="20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Pagrindinės (025.08)</w:t>
            </w:r>
          </w:p>
        </w:tc>
        <w:tc>
          <w:tcPr>
            <w:tcW w:w="128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872" w:type="dxa"/>
            <w:shd w:val="clear" w:color="auto" w:fill="auto"/>
          </w:tcPr>
          <w:p w:rsidR="007710BE" w:rsidRPr="00D6687D" w:rsidRDefault="00FB4C5A" w:rsidP="00ED03B9">
            <w:pPr>
              <w:rPr>
                <w:rFonts w:ascii="Times New Roman" w:hAnsi="Times New Roman" w:cs="Times New Roman"/>
              </w:rPr>
            </w:pPr>
            <w:r>
              <w:rPr>
                <w:rFonts w:ascii="Times New Roman" w:hAnsi="Times New Roman" w:cs="Times New Roman"/>
              </w:rPr>
              <w:t>4</w:t>
            </w:r>
            <w:r w:rsidR="007710BE" w:rsidRPr="00D6687D">
              <w:rPr>
                <w:rFonts w:ascii="Times New Roman" w:hAnsi="Times New Roman" w:cs="Times New Roman"/>
              </w:rPr>
              <w:t>0</w:t>
            </w:r>
          </w:p>
        </w:tc>
        <w:tc>
          <w:tcPr>
            <w:tcW w:w="1027" w:type="dxa"/>
          </w:tcPr>
          <w:p w:rsidR="006F2ABC" w:rsidRDefault="006F2ABC" w:rsidP="006F2ABC">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7710BE" w:rsidRPr="00D6687D" w:rsidRDefault="006F2ABC" w:rsidP="006F2ABC">
            <w:pPr>
              <w:rPr>
                <w:rFonts w:ascii="Times New Roman" w:hAnsi="Times New Roman" w:cs="Times New Roman"/>
              </w:rPr>
            </w:pPr>
            <w:r>
              <w:rPr>
                <w:rFonts w:ascii="Times New Roman" w:hAnsi="Times New Roman" w:cs="Times New Roman"/>
              </w:rPr>
              <w:t>66</w:t>
            </w:r>
            <w:r w:rsidR="008D28E2">
              <w:rPr>
                <w:rFonts w:ascii="Times New Roman" w:hAnsi="Times New Roman" w:cs="Times New Roman"/>
              </w:rPr>
              <w:t>,00</w:t>
            </w:r>
            <w:r>
              <w:rPr>
                <w:rFonts w:ascii="Times New Roman" w:hAnsi="Times New Roman" w:cs="Times New Roman"/>
              </w:rPr>
              <w:t xml:space="preserve"> eur</w:t>
            </w:r>
          </w:p>
        </w:tc>
        <w:tc>
          <w:tcPr>
            <w:tcW w:w="1165" w:type="dxa"/>
            <w:shd w:val="clear" w:color="auto" w:fill="auto"/>
          </w:tcPr>
          <w:p w:rsidR="006F2ABC" w:rsidRDefault="006F2ABC" w:rsidP="006F2ABC">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7710BE" w:rsidRPr="00D6687D" w:rsidRDefault="006F2ABC" w:rsidP="006F2ABC">
            <w:pPr>
              <w:rPr>
                <w:rFonts w:ascii="Times New Roman" w:hAnsi="Times New Roman" w:cs="Times New Roman"/>
              </w:rPr>
            </w:pPr>
            <w:r>
              <w:rPr>
                <w:rFonts w:ascii="Times New Roman" w:hAnsi="Times New Roman" w:cs="Times New Roman"/>
              </w:rPr>
              <w:t>79,86 eur</w:t>
            </w:r>
          </w:p>
        </w:tc>
        <w:tc>
          <w:tcPr>
            <w:tcW w:w="1227" w:type="dxa"/>
            <w:shd w:val="clear" w:color="auto" w:fill="auto"/>
          </w:tcPr>
          <w:p w:rsidR="006F2ABC" w:rsidRDefault="006F2ABC" w:rsidP="006F2ABC">
            <w:pPr>
              <w:rPr>
                <w:rFonts w:ascii="Times New Roman" w:hAnsi="Times New Roman" w:cs="Times New Roman"/>
              </w:rPr>
            </w:pPr>
            <w:r>
              <w:rPr>
                <w:rFonts w:ascii="Times New Roman" w:hAnsi="Times New Roman" w:cs="Times New Roman"/>
              </w:rPr>
              <w:t>Maillefer,</w:t>
            </w:r>
          </w:p>
          <w:p w:rsidR="007710BE" w:rsidRPr="00D6687D" w:rsidRDefault="006F2ABC" w:rsidP="006F2ABC">
            <w:pPr>
              <w:rPr>
                <w:rFonts w:ascii="Times New Roman" w:hAnsi="Times New Roman" w:cs="Times New Roman"/>
              </w:rPr>
            </w:pPr>
            <w:r w:rsidRPr="006F2ABC">
              <w:rPr>
                <w:rFonts w:ascii="Times New Roman" w:hAnsi="Times New Roman" w:cs="Times New Roman"/>
              </w:rPr>
              <w:t>Waveone Gold</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11,00</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13,31</w:t>
            </w:r>
          </w:p>
        </w:tc>
        <w:tc>
          <w:tcPr>
            <w:tcW w:w="1001"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440,00</w:t>
            </w:r>
          </w:p>
        </w:tc>
        <w:tc>
          <w:tcPr>
            <w:tcW w:w="1026"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532,40</w:t>
            </w:r>
          </w:p>
        </w:tc>
      </w:tr>
      <w:tr w:rsidR="00D6687D" w:rsidRPr="00D6687D" w:rsidTr="0062164C">
        <w:trPr>
          <w:trHeight w:val="460"/>
        </w:trPr>
        <w:tc>
          <w:tcPr>
            <w:tcW w:w="727" w:type="dxa"/>
            <w:shd w:val="clear" w:color="auto" w:fill="auto"/>
          </w:tcPr>
          <w:p w:rsidR="007710BE" w:rsidRPr="00D6687D" w:rsidRDefault="008121FD" w:rsidP="00ED03B9">
            <w:pPr>
              <w:rPr>
                <w:rFonts w:ascii="Times New Roman" w:hAnsi="Times New Roman" w:cs="Times New Roman"/>
              </w:rPr>
            </w:pPr>
            <w:r>
              <w:rPr>
                <w:rFonts w:ascii="Times New Roman" w:hAnsi="Times New Roman" w:cs="Times New Roman"/>
              </w:rPr>
              <w:t>16</w:t>
            </w:r>
            <w:r w:rsidR="007710BE" w:rsidRPr="00D6687D">
              <w:rPr>
                <w:rFonts w:ascii="Times New Roman" w:hAnsi="Times New Roman" w:cs="Times New Roman"/>
              </w:rPr>
              <w:t>.3</w:t>
            </w:r>
          </w:p>
        </w:tc>
        <w:tc>
          <w:tcPr>
            <w:tcW w:w="2469" w:type="dxa"/>
            <w:gridSpan w:val="2"/>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Wave. One File (arba lygiavertės)  dildės</w:t>
            </w:r>
          </w:p>
        </w:tc>
        <w:tc>
          <w:tcPr>
            <w:tcW w:w="206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Didžiosios (040.08)</w:t>
            </w:r>
          </w:p>
        </w:tc>
        <w:tc>
          <w:tcPr>
            <w:tcW w:w="128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Vnt</w:t>
            </w:r>
          </w:p>
        </w:tc>
        <w:tc>
          <w:tcPr>
            <w:tcW w:w="872" w:type="dxa"/>
            <w:shd w:val="clear" w:color="auto" w:fill="auto"/>
          </w:tcPr>
          <w:p w:rsidR="007710BE" w:rsidRPr="00D6687D" w:rsidRDefault="00FB4C5A" w:rsidP="00ED03B9">
            <w:pPr>
              <w:rPr>
                <w:rFonts w:ascii="Times New Roman" w:hAnsi="Times New Roman" w:cs="Times New Roman"/>
              </w:rPr>
            </w:pPr>
            <w:r>
              <w:rPr>
                <w:rFonts w:ascii="Times New Roman" w:hAnsi="Times New Roman" w:cs="Times New Roman"/>
              </w:rPr>
              <w:t>4</w:t>
            </w:r>
            <w:r w:rsidR="007710BE" w:rsidRPr="00D6687D">
              <w:rPr>
                <w:rFonts w:ascii="Times New Roman" w:hAnsi="Times New Roman" w:cs="Times New Roman"/>
              </w:rPr>
              <w:t>0</w:t>
            </w:r>
          </w:p>
        </w:tc>
        <w:tc>
          <w:tcPr>
            <w:tcW w:w="1027" w:type="dxa"/>
          </w:tcPr>
          <w:p w:rsidR="006F2ABC" w:rsidRDefault="006F2ABC" w:rsidP="006F2ABC">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7710BE" w:rsidRPr="00D6687D" w:rsidRDefault="006F2ABC" w:rsidP="006F2ABC">
            <w:pPr>
              <w:rPr>
                <w:rFonts w:ascii="Times New Roman" w:hAnsi="Times New Roman" w:cs="Times New Roman"/>
              </w:rPr>
            </w:pPr>
            <w:r>
              <w:rPr>
                <w:rFonts w:ascii="Times New Roman" w:hAnsi="Times New Roman" w:cs="Times New Roman"/>
              </w:rPr>
              <w:t>66</w:t>
            </w:r>
            <w:r w:rsidR="008D28E2">
              <w:rPr>
                <w:rFonts w:ascii="Times New Roman" w:hAnsi="Times New Roman" w:cs="Times New Roman"/>
              </w:rPr>
              <w:t>,00</w:t>
            </w:r>
            <w:r>
              <w:rPr>
                <w:rFonts w:ascii="Times New Roman" w:hAnsi="Times New Roman" w:cs="Times New Roman"/>
              </w:rPr>
              <w:t xml:space="preserve"> eur</w:t>
            </w:r>
          </w:p>
        </w:tc>
        <w:tc>
          <w:tcPr>
            <w:tcW w:w="1165" w:type="dxa"/>
            <w:shd w:val="clear" w:color="auto" w:fill="auto"/>
          </w:tcPr>
          <w:p w:rsidR="006F2ABC" w:rsidRDefault="006F2ABC" w:rsidP="006F2ABC">
            <w:pPr>
              <w:rPr>
                <w:rFonts w:ascii="Times New Roman" w:hAnsi="Times New Roman" w:cs="Times New Roman"/>
              </w:rPr>
            </w:pPr>
            <w:r>
              <w:rPr>
                <w:rFonts w:ascii="Times New Roman" w:hAnsi="Times New Roman" w:cs="Times New Roman"/>
              </w:rPr>
              <w:t>Dėž</w:t>
            </w:r>
            <w:r w:rsidR="003553FC">
              <w:rPr>
                <w:rFonts w:ascii="Times New Roman" w:hAnsi="Times New Roman" w:cs="Times New Roman"/>
              </w:rPr>
              <w:t xml:space="preserve"> 6vnt</w:t>
            </w:r>
          </w:p>
          <w:p w:rsidR="007710BE" w:rsidRPr="00D6687D" w:rsidRDefault="006F2ABC" w:rsidP="006F2ABC">
            <w:pPr>
              <w:rPr>
                <w:rFonts w:ascii="Times New Roman" w:hAnsi="Times New Roman" w:cs="Times New Roman"/>
              </w:rPr>
            </w:pPr>
            <w:r>
              <w:rPr>
                <w:rFonts w:ascii="Times New Roman" w:hAnsi="Times New Roman" w:cs="Times New Roman"/>
              </w:rPr>
              <w:t>79,86 eur</w:t>
            </w:r>
          </w:p>
        </w:tc>
        <w:tc>
          <w:tcPr>
            <w:tcW w:w="1227" w:type="dxa"/>
            <w:shd w:val="clear" w:color="auto" w:fill="auto"/>
          </w:tcPr>
          <w:p w:rsidR="006F2ABC" w:rsidRDefault="006F2ABC" w:rsidP="006F2ABC">
            <w:pPr>
              <w:rPr>
                <w:rFonts w:ascii="Times New Roman" w:hAnsi="Times New Roman" w:cs="Times New Roman"/>
              </w:rPr>
            </w:pPr>
            <w:r>
              <w:rPr>
                <w:rFonts w:ascii="Times New Roman" w:hAnsi="Times New Roman" w:cs="Times New Roman"/>
              </w:rPr>
              <w:t>Maillefer,</w:t>
            </w:r>
          </w:p>
          <w:p w:rsidR="007710BE" w:rsidRPr="00D6687D" w:rsidRDefault="006F2ABC" w:rsidP="006F2ABC">
            <w:pPr>
              <w:rPr>
                <w:rFonts w:ascii="Times New Roman" w:hAnsi="Times New Roman" w:cs="Times New Roman"/>
              </w:rPr>
            </w:pPr>
            <w:r w:rsidRPr="006F2ABC">
              <w:rPr>
                <w:rFonts w:ascii="Times New Roman" w:hAnsi="Times New Roman" w:cs="Times New Roman"/>
              </w:rPr>
              <w:t>Waveone Gold</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11,00</w:t>
            </w:r>
          </w:p>
        </w:tc>
        <w:tc>
          <w:tcPr>
            <w:tcW w:w="1033"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13,31</w:t>
            </w:r>
          </w:p>
        </w:tc>
        <w:tc>
          <w:tcPr>
            <w:tcW w:w="1001"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440,00</w:t>
            </w:r>
          </w:p>
        </w:tc>
        <w:tc>
          <w:tcPr>
            <w:tcW w:w="1026" w:type="dxa"/>
            <w:shd w:val="clear" w:color="auto" w:fill="auto"/>
          </w:tcPr>
          <w:p w:rsidR="007710BE" w:rsidRPr="00D6687D" w:rsidRDefault="006F2ABC" w:rsidP="00ED03B9">
            <w:pPr>
              <w:rPr>
                <w:rFonts w:ascii="Times New Roman" w:hAnsi="Times New Roman" w:cs="Times New Roman"/>
              </w:rPr>
            </w:pPr>
            <w:r>
              <w:rPr>
                <w:rFonts w:ascii="Times New Roman" w:hAnsi="Times New Roman" w:cs="Times New Roman"/>
              </w:rPr>
              <w:t>532,40</w:t>
            </w:r>
          </w:p>
        </w:tc>
      </w:tr>
      <w:tr w:rsidR="0062164C" w:rsidRPr="00D6687D" w:rsidTr="008121FD">
        <w:trPr>
          <w:trHeight w:val="282"/>
        </w:trPr>
        <w:tc>
          <w:tcPr>
            <w:tcW w:w="817" w:type="dxa"/>
            <w:gridSpan w:val="2"/>
            <w:shd w:val="clear" w:color="auto" w:fill="auto"/>
          </w:tcPr>
          <w:p w:rsidR="0062164C" w:rsidRPr="00D6687D" w:rsidRDefault="0062164C" w:rsidP="00ED03B9">
            <w:pPr>
              <w:rPr>
                <w:rFonts w:ascii="Times New Roman" w:hAnsi="Times New Roman" w:cs="Times New Roman"/>
              </w:rPr>
            </w:pPr>
          </w:p>
        </w:tc>
        <w:tc>
          <w:tcPr>
            <w:tcW w:w="13085" w:type="dxa"/>
            <w:gridSpan w:val="10"/>
          </w:tcPr>
          <w:p w:rsidR="0062164C" w:rsidRPr="00363A26" w:rsidRDefault="0062164C" w:rsidP="008121FD">
            <w:pPr>
              <w:rPr>
                <w:rFonts w:ascii="Times New Roman" w:hAnsi="Times New Roman" w:cs="Times New Roman"/>
                <w:b/>
              </w:rPr>
            </w:pPr>
            <w:r w:rsidRPr="00363A26">
              <w:rPr>
                <w:rFonts w:ascii="Times New Roman" w:hAnsi="Times New Roman" w:cs="Times New Roman"/>
                <w:b/>
              </w:rPr>
              <w:t xml:space="preserve">Pirkimo dalies Nr. </w:t>
            </w:r>
            <w:r w:rsidR="008121FD">
              <w:rPr>
                <w:rFonts w:ascii="Times New Roman" w:hAnsi="Times New Roman" w:cs="Times New Roman"/>
                <w:b/>
              </w:rPr>
              <w:t>16</w:t>
            </w:r>
            <w:r w:rsidRPr="00363A26">
              <w:rPr>
                <w:rFonts w:ascii="Times New Roman" w:hAnsi="Times New Roman" w:cs="Times New Roman"/>
                <w:b/>
              </w:rPr>
              <w:t xml:space="preserve"> bendra pasiūlymo kaina su PVM</w:t>
            </w:r>
          </w:p>
        </w:tc>
        <w:tc>
          <w:tcPr>
            <w:tcW w:w="1026" w:type="dxa"/>
            <w:shd w:val="clear" w:color="auto" w:fill="auto"/>
          </w:tcPr>
          <w:p w:rsidR="0062164C" w:rsidRPr="006F2ABC" w:rsidRDefault="006F2ABC" w:rsidP="00ED03B9">
            <w:pPr>
              <w:rPr>
                <w:rFonts w:ascii="Times New Roman" w:hAnsi="Times New Roman" w:cs="Times New Roman"/>
                <w:b/>
              </w:rPr>
            </w:pPr>
            <w:r w:rsidRPr="006F2ABC">
              <w:rPr>
                <w:rFonts w:ascii="Times New Roman" w:hAnsi="Times New Roman" w:cs="Times New Roman"/>
                <w:b/>
              </w:rPr>
              <w:t>1597,20</w:t>
            </w:r>
          </w:p>
        </w:tc>
      </w:tr>
    </w:tbl>
    <w:p w:rsidR="008121FD" w:rsidRDefault="008121FD" w:rsidP="007710BE">
      <w:pPr>
        <w:rPr>
          <w:rFonts w:ascii="Times New Roman" w:hAnsi="Times New Roman" w:cs="Times New Roman"/>
          <w:b/>
        </w:rPr>
      </w:pP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Jei pagal  Europos Sąjungos direktyvą 93/42/EEB „Medicinos prietaisai” siūlomos prekės yra priskiriamos kuriai nors vienai direktyvoje nurodytai medicinos prietaisų IIa, IIb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0 k.d.)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5C75B8">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5C75B8"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19A" w:rsidRDefault="005D219A" w:rsidP="00406EE2">
      <w:r>
        <w:separator/>
      </w:r>
    </w:p>
  </w:endnote>
  <w:endnote w:type="continuationSeparator" w:id="0">
    <w:p w:rsidR="005D219A" w:rsidRDefault="005D219A"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19A" w:rsidRDefault="005D219A" w:rsidP="00406EE2">
      <w:r>
        <w:separator/>
      </w:r>
    </w:p>
  </w:footnote>
  <w:footnote w:type="continuationSeparator" w:id="0">
    <w:p w:rsidR="005D219A" w:rsidRDefault="005D219A"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049A"/>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6A41"/>
    <w:rsid w:val="001440AE"/>
    <w:rsid w:val="001549F1"/>
    <w:rsid w:val="00165E1A"/>
    <w:rsid w:val="00166AE4"/>
    <w:rsid w:val="001743F2"/>
    <w:rsid w:val="0017478A"/>
    <w:rsid w:val="0019783A"/>
    <w:rsid w:val="001A150F"/>
    <w:rsid w:val="001A1599"/>
    <w:rsid w:val="001A6F90"/>
    <w:rsid w:val="001B70B1"/>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33CD"/>
    <w:rsid w:val="003278C7"/>
    <w:rsid w:val="00331086"/>
    <w:rsid w:val="00331DC4"/>
    <w:rsid w:val="00332628"/>
    <w:rsid w:val="00345F36"/>
    <w:rsid w:val="00346CE2"/>
    <w:rsid w:val="00350C67"/>
    <w:rsid w:val="003530E3"/>
    <w:rsid w:val="003553FC"/>
    <w:rsid w:val="00363A26"/>
    <w:rsid w:val="0037314F"/>
    <w:rsid w:val="003737AF"/>
    <w:rsid w:val="00376F88"/>
    <w:rsid w:val="003773A7"/>
    <w:rsid w:val="003852B2"/>
    <w:rsid w:val="003940B1"/>
    <w:rsid w:val="003A4D56"/>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90647"/>
    <w:rsid w:val="00592C69"/>
    <w:rsid w:val="005A03C4"/>
    <w:rsid w:val="005B3E9D"/>
    <w:rsid w:val="005C75B8"/>
    <w:rsid w:val="005D219A"/>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A7221"/>
    <w:rsid w:val="006B29A3"/>
    <w:rsid w:val="006B2D5B"/>
    <w:rsid w:val="006B33B0"/>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64BF"/>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28E2"/>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73C8"/>
    <w:rsid w:val="00A533CE"/>
    <w:rsid w:val="00A55A23"/>
    <w:rsid w:val="00A61A19"/>
    <w:rsid w:val="00A6382E"/>
    <w:rsid w:val="00A72C8F"/>
    <w:rsid w:val="00A7499B"/>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12FA6"/>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12681"/>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241FA"/>
    <w:rsid w:val="00D3204F"/>
    <w:rsid w:val="00D33C97"/>
    <w:rsid w:val="00D408A7"/>
    <w:rsid w:val="00D555B7"/>
    <w:rsid w:val="00D65348"/>
    <w:rsid w:val="00D65FDD"/>
    <w:rsid w:val="00D6687D"/>
    <w:rsid w:val="00D6688D"/>
    <w:rsid w:val="00D70C22"/>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FB40-38A6-4B30-9B9B-4E33BF78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3550</Words>
  <Characters>2025</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2018-12-31T09:53:00Z</dcterms:created>
  <dcterms:modified xsi:type="dcterms:W3CDTF">2018-12-31T09:53:00Z</dcterms:modified>
</cp:coreProperties>
</file>