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„Unidentas“</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Senasis Ukmergės kelias 4, Užubalių k. Vilniaus raj. LT-14302, tel.85 2734491, faks. 85 2732239, el. paštas dental@unidentas.lt,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„Unidentas“</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Senasis Ukmergės kelias 4, Užubalių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3C5239"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/Pastaba. Pildoma, jei tiekėjas ketina pasitelkti  subtiekėją (-us)/</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 xml:space="preserve">Subtiekėjo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Subtiekėjo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subtiekėją (-us)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7710BE" w:rsidRDefault="007710BE" w:rsidP="007710BE">
      <w:pPr>
        <w:rPr>
          <w:rFonts w:ascii="Times New Roman" w:hAnsi="Times New Roman" w:cs="Times New Roman"/>
          <w:b/>
        </w:rPr>
      </w:pPr>
    </w:p>
    <w:p w:rsidR="007710BE" w:rsidRPr="00D6687D" w:rsidRDefault="007710BE" w:rsidP="007710BE">
      <w:pPr>
        <w:rPr>
          <w:rFonts w:ascii="Times New Roman" w:hAnsi="Times New Roman" w:cs="Times New Roman"/>
          <w:b/>
        </w:rPr>
      </w:pPr>
      <w:r w:rsidRPr="007D78F0">
        <w:rPr>
          <w:rFonts w:ascii="Times New Roman" w:hAnsi="Times New Roman" w:cs="Times New Roman"/>
          <w:b/>
        </w:rPr>
        <w:t xml:space="preserve">Pirkimo dalis Nr. </w:t>
      </w:r>
      <w:r w:rsidR="001743F2" w:rsidRPr="007D78F0">
        <w:rPr>
          <w:rFonts w:ascii="Times New Roman" w:hAnsi="Times New Roman" w:cs="Times New Roman"/>
          <w:b/>
        </w:rPr>
        <w:t>36</w:t>
      </w:r>
      <w:r w:rsidRPr="007D78F0">
        <w:rPr>
          <w:rFonts w:ascii="Times New Roman" w:hAnsi="Times New Roman" w:cs="Times New Roman"/>
          <w:b/>
        </w:rPr>
        <w:t xml:space="preserve">  - Kompozitinė plombinė medžiaga polimerizuojama šviesa</w:t>
      </w:r>
      <w:r w:rsidRPr="00D6687D">
        <w:rPr>
          <w:rFonts w:ascii="Times New Roman" w:hAnsi="Times New Roman" w:cs="Times New Roman"/>
          <w:b/>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
        <w:gridCol w:w="2089"/>
        <w:gridCol w:w="2520"/>
        <w:gridCol w:w="992"/>
        <w:gridCol w:w="738"/>
        <w:gridCol w:w="1134"/>
        <w:gridCol w:w="1134"/>
        <w:gridCol w:w="1247"/>
        <w:gridCol w:w="1134"/>
        <w:gridCol w:w="1134"/>
        <w:gridCol w:w="992"/>
        <w:gridCol w:w="1134"/>
      </w:tblGrid>
      <w:tr w:rsidR="00D6687D" w:rsidRPr="00D6687D" w:rsidTr="00765DBF">
        <w:trPr>
          <w:trHeight w:val="1116"/>
        </w:trPr>
        <w:tc>
          <w:tcPr>
            <w:tcW w:w="744" w:type="dxa"/>
            <w:gridSpan w:val="2"/>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08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252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738"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1134"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tc>
        <w:tc>
          <w:tcPr>
            <w:tcW w:w="113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su PVM</w:t>
            </w:r>
          </w:p>
        </w:tc>
        <w:tc>
          <w:tcPr>
            <w:tcW w:w="124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13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13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992"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1134"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D6687D" w:rsidRPr="00D6687D" w:rsidTr="00765DBF">
        <w:trPr>
          <w:trHeight w:val="410"/>
        </w:trPr>
        <w:tc>
          <w:tcPr>
            <w:tcW w:w="744" w:type="dxa"/>
            <w:gridSpan w:val="2"/>
            <w:shd w:val="clear" w:color="auto" w:fill="auto"/>
          </w:tcPr>
          <w:p w:rsidR="007710BE" w:rsidRPr="00D6687D" w:rsidRDefault="001743F2" w:rsidP="009D758E">
            <w:pPr>
              <w:rPr>
                <w:rFonts w:ascii="Times New Roman" w:hAnsi="Times New Roman" w:cs="Times New Roman"/>
              </w:rPr>
            </w:pPr>
            <w:r>
              <w:rPr>
                <w:rFonts w:ascii="Times New Roman" w:hAnsi="Times New Roman" w:cs="Times New Roman"/>
              </w:rPr>
              <w:t>36</w:t>
            </w:r>
            <w:r w:rsidR="007710BE" w:rsidRPr="00D6687D">
              <w:rPr>
                <w:rFonts w:ascii="Times New Roman" w:hAnsi="Times New Roman" w:cs="Times New Roman"/>
              </w:rPr>
              <w:t>.1</w:t>
            </w:r>
          </w:p>
        </w:tc>
        <w:tc>
          <w:tcPr>
            <w:tcW w:w="208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Kompozitinė plombinė medžiaga polimerizuojama šviesa</w:t>
            </w:r>
          </w:p>
          <w:p w:rsidR="007710BE" w:rsidRPr="00D6687D" w:rsidRDefault="007710BE" w:rsidP="00ED03B9">
            <w:pPr>
              <w:rPr>
                <w:rFonts w:ascii="Times New Roman" w:hAnsi="Times New Roman" w:cs="Times New Roman"/>
              </w:rPr>
            </w:pPr>
            <w:r w:rsidRPr="00D6687D">
              <w:rPr>
                <w:rFonts w:ascii="Times New Roman" w:hAnsi="Times New Roman" w:cs="Times New Roman"/>
                <w:b/>
              </w:rPr>
              <w:t>Estelite Sigma Quick</w:t>
            </w:r>
            <w:r w:rsidRPr="00D6687D">
              <w:rPr>
                <w:rFonts w:ascii="Times New Roman" w:hAnsi="Times New Roman" w:cs="Times New Roman"/>
              </w:rPr>
              <w:t xml:space="preserve"> arba lygiavertė</w:t>
            </w:r>
          </w:p>
        </w:tc>
        <w:tc>
          <w:tcPr>
            <w:tcW w:w="252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Submikroninis rentgenoplastiškas šviesoje kietinamas kompozitas. Kietinimo laikas ne daugiau kaip 10 s. Silicio-cirkonio užpildas ne mažesnis kaio 82 proc., mažas susitraukimas. Naudojamas priekinių ir krūminių dantų restauracijoms</w:t>
            </w:r>
          </w:p>
          <w:p w:rsidR="007710BE" w:rsidRPr="00D6687D" w:rsidRDefault="007710BE" w:rsidP="00ED03B9">
            <w:pPr>
              <w:rPr>
                <w:rFonts w:ascii="Times New Roman" w:hAnsi="Times New Roman" w:cs="Times New Roman"/>
              </w:rPr>
            </w:pPr>
            <w:r w:rsidRPr="00D6687D">
              <w:rPr>
                <w:rFonts w:ascii="Times New Roman" w:hAnsi="Times New Roman" w:cs="Times New Roman"/>
              </w:rPr>
              <w:t>Pakuotėje ne mažiau 6 švirkštai po 3,8g + 3 švirkštai po 1,8 g takiosios medžiagos + surišimo sistema 5 ml</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Pak.</w:t>
            </w:r>
          </w:p>
        </w:tc>
        <w:tc>
          <w:tcPr>
            <w:tcW w:w="738" w:type="dxa"/>
            <w:shd w:val="clear" w:color="auto" w:fill="auto"/>
          </w:tcPr>
          <w:p w:rsidR="007710BE" w:rsidRPr="00D6687D" w:rsidRDefault="002B5FDD" w:rsidP="00ED03B9">
            <w:pPr>
              <w:rPr>
                <w:rFonts w:ascii="Times New Roman" w:hAnsi="Times New Roman" w:cs="Times New Roman"/>
              </w:rPr>
            </w:pPr>
            <w:r>
              <w:rPr>
                <w:rFonts w:ascii="Times New Roman" w:hAnsi="Times New Roman" w:cs="Times New Roman"/>
              </w:rPr>
              <w:t>10</w:t>
            </w:r>
          </w:p>
        </w:tc>
        <w:tc>
          <w:tcPr>
            <w:tcW w:w="1134" w:type="dxa"/>
          </w:tcPr>
          <w:p w:rsidR="00765DBF" w:rsidRDefault="00512616" w:rsidP="00ED03B9">
            <w:pPr>
              <w:rPr>
                <w:rFonts w:ascii="Times New Roman" w:hAnsi="Times New Roman" w:cs="Times New Roman"/>
              </w:rPr>
            </w:pPr>
            <w:r>
              <w:rPr>
                <w:rFonts w:ascii="Times New Roman" w:hAnsi="Times New Roman" w:cs="Times New Roman"/>
              </w:rPr>
              <w:t>Pak</w:t>
            </w:r>
            <w:r w:rsidR="00765DBF">
              <w:rPr>
                <w:rFonts w:ascii="Times New Roman" w:hAnsi="Times New Roman" w:cs="Times New Roman"/>
              </w:rPr>
              <w:t xml:space="preserve"> </w:t>
            </w:r>
            <w:bookmarkStart w:id="1" w:name="OLE_LINK1"/>
            <w:bookmarkStart w:id="2" w:name="OLE_LINK2"/>
            <w:r w:rsidR="00765DBF">
              <w:rPr>
                <w:rFonts w:ascii="Times New Roman" w:hAnsi="Times New Roman" w:cs="Times New Roman"/>
              </w:rPr>
              <w:t>6x3,8g</w:t>
            </w:r>
          </w:p>
          <w:p w:rsidR="007710BE" w:rsidRDefault="00765DBF" w:rsidP="00ED03B9">
            <w:pPr>
              <w:rPr>
                <w:rFonts w:ascii="Times New Roman" w:hAnsi="Times New Roman" w:cs="Times New Roman"/>
              </w:rPr>
            </w:pPr>
            <w:r>
              <w:rPr>
                <w:rFonts w:ascii="Times New Roman" w:hAnsi="Times New Roman" w:cs="Times New Roman"/>
              </w:rPr>
              <w:t>+3x1,7g +</w:t>
            </w:r>
            <w:r w:rsidRPr="00765DBF">
              <w:rPr>
                <w:rFonts w:ascii="Times New Roman" w:hAnsi="Times New Roman" w:cs="Times New Roman"/>
              </w:rPr>
              <w:t>5ml</w:t>
            </w:r>
          </w:p>
          <w:bookmarkEnd w:id="1"/>
          <w:bookmarkEnd w:id="2"/>
          <w:p w:rsidR="00512616" w:rsidRPr="00D6687D" w:rsidRDefault="00512616" w:rsidP="00ED03B9">
            <w:pPr>
              <w:rPr>
                <w:rFonts w:ascii="Times New Roman" w:hAnsi="Times New Roman" w:cs="Times New Roman"/>
              </w:rPr>
            </w:pPr>
            <w:r>
              <w:rPr>
                <w:rFonts w:ascii="Times New Roman" w:hAnsi="Times New Roman" w:cs="Times New Roman"/>
              </w:rPr>
              <w:t>262,50 eur</w:t>
            </w:r>
          </w:p>
        </w:tc>
        <w:tc>
          <w:tcPr>
            <w:tcW w:w="1134" w:type="dxa"/>
            <w:shd w:val="clear" w:color="auto" w:fill="auto"/>
          </w:tcPr>
          <w:p w:rsidR="00765DBF" w:rsidRDefault="00512616" w:rsidP="00765DBF">
            <w:pPr>
              <w:rPr>
                <w:rFonts w:ascii="Times New Roman" w:hAnsi="Times New Roman" w:cs="Times New Roman"/>
              </w:rPr>
            </w:pPr>
            <w:r>
              <w:rPr>
                <w:rFonts w:ascii="Times New Roman" w:hAnsi="Times New Roman" w:cs="Times New Roman"/>
              </w:rPr>
              <w:t>Pak</w:t>
            </w:r>
            <w:r w:rsidR="00765DBF">
              <w:rPr>
                <w:rFonts w:ascii="Times New Roman" w:hAnsi="Times New Roman" w:cs="Times New Roman"/>
              </w:rPr>
              <w:t xml:space="preserve"> 6x3,8g</w:t>
            </w:r>
          </w:p>
          <w:p w:rsidR="00765DBF" w:rsidRDefault="00765DBF" w:rsidP="00765DBF">
            <w:pPr>
              <w:rPr>
                <w:rFonts w:ascii="Times New Roman" w:hAnsi="Times New Roman" w:cs="Times New Roman"/>
              </w:rPr>
            </w:pPr>
            <w:r>
              <w:rPr>
                <w:rFonts w:ascii="Times New Roman" w:hAnsi="Times New Roman" w:cs="Times New Roman"/>
              </w:rPr>
              <w:t>+3x1,7g +</w:t>
            </w:r>
            <w:r w:rsidRPr="00765DBF">
              <w:rPr>
                <w:rFonts w:ascii="Times New Roman" w:hAnsi="Times New Roman" w:cs="Times New Roman"/>
              </w:rPr>
              <w:t>5ml</w:t>
            </w:r>
          </w:p>
          <w:p w:rsidR="00512616" w:rsidRPr="00D6687D" w:rsidRDefault="00512616" w:rsidP="00ED03B9">
            <w:pPr>
              <w:rPr>
                <w:rFonts w:ascii="Times New Roman" w:hAnsi="Times New Roman" w:cs="Times New Roman"/>
              </w:rPr>
            </w:pPr>
            <w:r>
              <w:rPr>
                <w:rFonts w:ascii="Times New Roman" w:hAnsi="Times New Roman" w:cs="Times New Roman"/>
              </w:rPr>
              <w:t>317,63 eur</w:t>
            </w:r>
          </w:p>
        </w:tc>
        <w:tc>
          <w:tcPr>
            <w:tcW w:w="1247" w:type="dxa"/>
            <w:shd w:val="clear" w:color="auto" w:fill="auto"/>
          </w:tcPr>
          <w:p w:rsidR="007710BE" w:rsidRDefault="00512616" w:rsidP="00ED03B9">
            <w:pPr>
              <w:rPr>
                <w:rFonts w:ascii="Times New Roman" w:hAnsi="Times New Roman" w:cs="Times New Roman"/>
              </w:rPr>
            </w:pPr>
            <w:r>
              <w:rPr>
                <w:rFonts w:ascii="Times New Roman" w:hAnsi="Times New Roman" w:cs="Times New Roman"/>
              </w:rPr>
              <w:t>Tokuyama Dental,</w:t>
            </w:r>
          </w:p>
          <w:p w:rsidR="00512616" w:rsidRPr="00D6687D" w:rsidRDefault="00512616" w:rsidP="00ED03B9">
            <w:pPr>
              <w:rPr>
                <w:rFonts w:ascii="Times New Roman" w:hAnsi="Times New Roman" w:cs="Times New Roman"/>
              </w:rPr>
            </w:pPr>
            <w:r>
              <w:rPr>
                <w:rFonts w:ascii="Times New Roman" w:hAnsi="Times New Roman" w:cs="Times New Roman"/>
              </w:rPr>
              <w:t>Estelite Sigma Quick rinkinys</w:t>
            </w:r>
          </w:p>
        </w:tc>
        <w:tc>
          <w:tcPr>
            <w:tcW w:w="1134" w:type="dxa"/>
            <w:shd w:val="clear" w:color="auto" w:fill="auto"/>
          </w:tcPr>
          <w:p w:rsidR="007710BE" w:rsidRPr="00D6687D" w:rsidRDefault="00765DBF" w:rsidP="00ED03B9">
            <w:pPr>
              <w:rPr>
                <w:rFonts w:ascii="Times New Roman" w:hAnsi="Times New Roman" w:cs="Times New Roman"/>
              </w:rPr>
            </w:pPr>
            <w:r>
              <w:rPr>
                <w:rFonts w:ascii="Times New Roman" w:hAnsi="Times New Roman" w:cs="Times New Roman"/>
              </w:rPr>
              <w:t>7,9787</w:t>
            </w:r>
          </w:p>
        </w:tc>
        <w:tc>
          <w:tcPr>
            <w:tcW w:w="1134" w:type="dxa"/>
            <w:shd w:val="clear" w:color="auto" w:fill="auto"/>
          </w:tcPr>
          <w:p w:rsidR="007710BE" w:rsidRPr="00D6687D" w:rsidRDefault="00765DBF" w:rsidP="00ED03B9">
            <w:pPr>
              <w:rPr>
                <w:rFonts w:ascii="Times New Roman" w:hAnsi="Times New Roman" w:cs="Times New Roman"/>
              </w:rPr>
            </w:pPr>
            <w:r>
              <w:rPr>
                <w:rFonts w:ascii="Times New Roman" w:hAnsi="Times New Roman" w:cs="Times New Roman"/>
              </w:rPr>
              <w:t>9,6544</w:t>
            </w:r>
          </w:p>
        </w:tc>
        <w:tc>
          <w:tcPr>
            <w:tcW w:w="992" w:type="dxa"/>
            <w:shd w:val="clear" w:color="auto" w:fill="auto"/>
          </w:tcPr>
          <w:p w:rsidR="007710BE" w:rsidRPr="00D6687D" w:rsidRDefault="00512616" w:rsidP="00ED03B9">
            <w:pPr>
              <w:rPr>
                <w:rFonts w:ascii="Times New Roman" w:hAnsi="Times New Roman" w:cs="Times New Roman"/>
              </w:rPr>
            </w:pPr>
            <w:r>
              <w:rPr>
                <w:rFonts w:ascii="Times New Roman" w:hAnsi="Times New Roman" w:cs="Times New Roman"/>
              </w:rPr>
              <w:t>2625,00</w:t>
            </w:r>
          </w:p>
        </w:tc>
        <w:tc>
          <w:tcPr>
            <w:tcW w:w="1134" w:type="dxa"/>
            <w:shd w:val="clear" w:color="auto" w:fill="auto"/>
          </w:tcPr>
          <w:p w:rsidR="007710BE" w:rsidRPr="00D6687D" w:rsidRDefault="00512616" w:rsidP="00ED03B9">
            <w:pPr>
              <w:rPr>
                <w:rFonts w:ascii="Times New Roman" w:hAnsi="Times New Roman" w:cs="Times New Roman"/>
              </w:rPr>
            </w:pPr>
            <w:r>
              <w:rPr>
                <w:rFonts w:ascii="Times New Roman" w:hAnsi="Times New Roman" w:cs="Times New Roman"/>
              </w:rPr>
              <w:t>3176,25</w:t>
            </w:r>
          </w:p>
        </w:tc>
      </w:tr>
      <w:tr w:rsidR="00D6687D" w:rsidRPr="00D6687D" w:rsidTr="00765DBF">
        <w:trPr>
          <w:trHeight w:val="410"/>
        </w:trPr>
        <w:tc>
          <w:tcPr>
            <w:tcW w:w="744" w:type="dxa"/>
            <w:gridSpan w:val="2"/>
            <w:shd w:val="clear" w:color="auto" w:fill="auto"/>
          </w:tcPr>
          <w:p w:rsidR="007710BE" w:rsidRPr="00D6687D" w:rsidRDefault="001743F2" w:rsidP="009D758E">
            <w:pPr>
              <w:rPr>
                <w:rFonts w:ascii="Times New Roman" w:hAnsi="Times New Roman" w:cs="Times New Roman"/>
              </w:rPr>
            </w:pPr>
            <w:r>
              <w:rPr>
                <w:rFonts w:ascii="Times New Roman" w:hAnsi="Times New Roman" w:cs="Times New Roman"/>
              </w:rPr>
              <w:t>36</w:t>
            </w:r>
            <w:r w:rsidR="007710BE" w:rsidRPr="00D6687D">
              <w:rPr>
                <w:rFonts w:ascii="Times New Roman" w:hAnsi="Times New Roman" w:cs="Times New Roman"/>
              </w:rPr>
              <w:t>.2</w:t>
            </w:r>
          </w:p>
        </w:tc>
        <w:tc>
          <w:tcPr>
            <w:tcW w:w="2089" w:type="dxa"/>
            <w:shd w:val="clear" w:color="auto" w:fill="auto"/>
          </w:tcPr>
          <w:p w:rsidR="007710BE" w:rsidRPr="00D6687D" w:rsidRDefault="007710BE" w:rsidP="001743F2">
            <w:pPr>
              <w:rPr>
                <w:rFonts w:ascii="Times New Roman" w:hAnsi="Times New Roman" w:cs="Times New Roman"/>
              </w:rPr>
            </w:pPr>
            <w:r w:rsidRPr="00D6687D">
              <w:rPr>
                <w:rFonts w:ascii="Times New Roman" w:hAnsi="Times New Roman" w:cs="Times New Roman"/>
              </w:rPr>
              <w:t xml:space="preserve">Šviesoje kietėjanti plombinė medžiaga  švirkštuose, papildomos spalvos, tinkančios </w:t>
            </w:r>
            <w:r w:rsidR="001743F2">
              <w:rPr>
                <w:rFonts w:ascii="Times New Roman" w:hAnsi="Times New Roman" w:cs="Times New Roman"/>
              </w:rPr>
              <w:t>36</w:t>
            </w:r>
            <w:r w:rsidRPr="00D6687D">
              <w:rPr>
                <w:rFonts w:ascii="Times New Roman" w:hAnsi="Times New Roman" w:cs="Times New Roman"/>
              </w:rPr>
              <w:t>.1  pozicijai</w:t>
            </w:r>
          </w:p>
        </w:tc>
        <w:tc>
          <w:tcPr>
            <w:tcW w:w="252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Privaloma ne mažiau 17 atspalvių gama: A1, A2, A3, A4, PO2, BW ir t.t.</w:t>
            </w:r>
          </w:p>
          <w:p w:rsidR="007710BE" w:rsidRPr="00D6687D" w:rsidRDefault="007710BE" w:rsidP="00ED03B9">
            <w:pPr>
              <w:rPr>
                <w:rFonts w:ascii="Times New Roman" w:hAnsi="Times New Roman" w:cs="Times New Roman"/>
              </w:rPr>
            </w:pPr>
            <w:r w:rsidRPr="00D6687D">
              <w:rPr>
                <w:rFonts w:ascii="Times New Roman" w:hAnsi="Times New Roman" w:cs="Times New Roman"/>
              </w:rPr>
              <w:t>Papildomai švirkštais po ne mažiau 3,8 g</w:t>
            </w:r>
          </w:p>
          <w:p w:rsidR="007710BE" w:rsidRPr="00D6687D" w:rsidRDefault="007710BE" w:rsidP="00ED03B9">
            <w:pPr>
              <w:rPr>
                <w:rFonts w:ascii="Times New Roman" w:hAnsi="Times New Roman" w:cs="Times New Roman"/>
              </w:rPr>
            </w:pP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Vnt.</w:t>
            </w:r>
          </w:p>
        </w:tc>
        <w:tc>
          <w:tcPr>
            <w:tcW w:w="738" w:type="dxa"/>
            <w:shd w:val="clear" w:color="auto" w:fill="auto"/>
          </w:tcPr>
          <w:p w:rsidR="007710BE" w:rsidRPr="00D6687D" w:rsidRDefault="002B5FDD" w:rsidP="00ED03B9">
            <w:pPr>
              <w:rPr>
                <w:rFonts w:ascii="Times New Roman" w:hAnsi="Times New Roman" w:cs="Times New Roman"/>
              </w:rPr>
            </w:pPr>
            <w:r>
              <w:rPr>
                <w:rFonts w:ascii="Times New Roman" w:hAnsi="Times New Roman" w:cs="Times New Roman"/>
              </w:rPr>
              <w:t>100</w:t>
            </w:r>
          </w:p>
        </w:tc>
        <w:tc>
          <w:tcPr>
            <w:tcW w:w="1134" w:type="dxa"/>
          </w:tcPr>
          <w:p w:rsidR="007710BE" w:rsidRDefault="00512616" w:rsidP="00ED03B9">
            <w:pPr>
              <w:rPr>
                <w:rFonts w:ascii="Times New Roman" w:hAnsi="Times New Roman" w:cs="Times New Roman"/>
              </w:rPr>
            </w:pPr>
            <w:r w:rsidRPr="00512616">
              <w:rPr>
                <w:rFonts w:ascii="Times New Roman" w:hAnsi="Times New Roman" w:cs="Times New Roman"/>
              </w:rPr>
              <w:t>Vnt</w:t>
            </w:r>
            <w:r w:rsidR="00765DBF">
              <w:rPr>
                <w:rFonts w:ascii="Times New Roman" w:hAnsi="Times New Roman" w:cs="Times New Roman"/>
              </w:rPr>
              <w:t xml:space="preserve"> 3,8g</w:t>
            </w:r>
          </w:p>
          <w:p w:rsidR="00512616" w:rsidRDefault="00512616" w:rsidP="00ED03B9">
            <w:pPr>
              <w:rPr>
                <w:rFonts w:ascii="Times New Roman" w:hAnsi="Times New Roman" w:cs="Times New Roman"/>
              </w:rPr>
            </w:pPr>
            <w:r>
              <w:rPr>
                <w:rFonts w:ascii="Times New Roman" w:hAnsi="Times New Roman" w:cs="Times New Roman"/>
              </w:rPr>
              <w:t>32,70 eur</w:t>
            </w:r>
          </w:p>
          <w:p w:rsidR="00512616" w:rsidRPr="00512616" w:rsidRDefault="00512616" w:rsidP="00ED03B9">
            <w:pPr>
              <w:rPr>
                <w:rFonts w:ascii="Times New Roman" w:hAnsi="Times New Roman" w:cs="Times New Roman"/>
              </w:rPr>
            </w:pPr>
          </w:p>
          <w:p w:rsidR="00512616" w:rsidRPr="00512616" w:rsidRDefault="00512616" w:rsidP="00ED03B9">
            <w:pPr>
              <w:rPr>
                <w:rFonts w:ascii="Times New Roman" w:hAnsi="Times New Roman" w:cs="Times New Roman"/>
              </w:rPr>
            </w:pPr>
          </w:p>
        </w:tc>
        <w:tc>
          <w:tcPr>
            <w:tcW w:w="1134" w:type="dxa"/>
            <w:shd w:val="clear" w:color="auto" w:fill="auto"/>
          </w:tcPr>
          <w:p w:rsidR="007710BE" w:rsidRDefault="00512616" w:rsidP="00ED03B9">
            <w:pPr>
              <w:rPr>
                <w:rFonts w:ascii="Times New Roman" w:hAnsi="Times New Roman" w:cs="Times New Roman"/>
              </w:rPr>
            </w:pPr>
            <w:r>
              <w:rPr>
                <w:rFonts w:ascii="Times New Roman" w:hAnsi="Times New Roman" w:cs="Times New Roman"/>
              </w:rPr>
              <w:t>Vnt</w:t>
            </w:r>
            <w:r w:rsidR="00765DBF">
              <w:rPr>
                <w:rFonts w:ascii="Times New Roman" w:hAnsi="Times New Roman" w:cs="Times New Roman"/>
              </w:rPr>
              <w:t xml:space="preserve"> 3,8g</w:t>
            </w:r>
          </w:p>
          <w:p w:rsidR="00512616" w:rsidRPr="00512616" w:rsidRDefault="00512616" w:rsidP="00ED03B9">
            <w:pPr>
              <w:rPr>
                <w:rFonts w:ascii="Times New Roman" w:hAnsi="Times New Roman" w:cs="Times New Roman"/>
              </w:rPr>
            </w:pPr>
            <w:r>
              <w:rPr>
                <w:rFonts w:ascii="Times New Roman" w:hAnsi="Times New Roman" w:cs="Times New Roman"/>
              </w:rPr>
              <w:t>39,57 eur</w:t>
            </w:r>
          </w:p>
        </w:tc>
        <w:tc>
          <w:tcPr>
            <w:tcW w:w="1247" w:type="dxa"/>
            <w:shd w:val="clear" w:color="auto" w:fill="auto"/>
          </w:tcPr>
          <w:p w:rsidR="00512616" w:rsidRPr="00512616" w:rsidRDefault="00512616" w:rsidP="00512616">
            <w:pPr>
              <w:rPr>
                <w:rFonts w:ascii="Times New Roman" w:hAnsi="Times New Roman" w:cs="Times New Roman"/>
              </w:rPr>
            </w:pPr>
            <w:r w:rsidRPr="00512616">
              <w:rPr>
                <w:rFonts w:ascii="Times New Roman" w:hAnsi="Times New Roman" w:cs="Times New Roman"/>
              </w:rPr>
              <w:t>Tokuyama Dental,</w:t>
            </w:r>
          </w:p>
          <w:p w:rsidR="007710BE" w:rsidRPr="00512616" w:rsidRDefault="00512616" w:rsidP="00512616">
            <w:pPr>
              <w:rPr>
                <w:rFonts w:ascii="Times New Roman" w:hAnsi="Times New Roman" w:cs="Times New Roman"/>
              </w:rPr>
            </w:pPr>
            <w:r w:rsidRPr="00512616">
              <w:rPr>
                <w:rFonts w:ascii="Times New Roman" w:hAnsi="Times New Roman" w:cs="Times New Roman"/>
              </w:rPr>
              <w:t>Estelite Sigma Quick</w:t>
            </w:r>
          </w:p>
        </w:tc>
        <w:tc>
          <w:tcPr>
            <w:tcW w:w="1134" w:type="dxa"/>
            <w:shd w:val="clear" w:color="auto" w:fill="auto"/>
          </w:tcPr>
          <w:p w:rsidR="007710BE" w:rsidRPr="00512616" w:rsidRDefault="00765DBF" w:rsidP="00ED03B9">
            <w:pPr>
              <w:rPr>
                <w:rFonts w:ascii="Times New Roman" w:hAnsi="Times New Roman" w:cs="Times New Roman"/>
              </w:rPr>
            </w:pPr>
            <w:r>
              <w:rPr>
                <w:rFonts w:ascii="Times New Roman" w:hAnsi="Times New Roman" w:cs="Times New Roman"/>
              </w:rPr>
              <w:t>8,6053</w:t>
            </w:r>
          </w:p>
        </w:tc>
        <w:tc>
          <w:tcPr>
            <w:tcW w:w="1134" w:type="dxa"/>
            <w:shd w:val="clear" w:color="auto" w:fill="auto"/>
          </w:tcPr>
          <w:p w:rsidR="007710BE" w:rsidRPr="00512616" w:rsidRDefault="00765DBF" w:rsidP="00ED03B9">
            <w:pPr>
              <w:rPr>
                <w:rFonts w:ascii="Times New Roman" w:hAnsi="Times New Roman" w:cs="Times New Roman"/>
              </w:rPr>
            </w:pPr>
            <w:r>
              <w:rPr>
                <w:rFonts w:ascii="Times New Roman" w:hAnsi="Times New Roman" w:cs="Times New Roman"/>
              </w:rPr>
              <w:t>10,4132</w:t>
            </w:r>
          </w:p>
        </w:tc>
        <w:tc>
          <w:tcPr>
            <w:tcW w:w="992" w:type="dxa"/>
            <w:shd w:val="clear" w:color="auto" w:fill="auto"/>
          </w:tcPr>
          <w:p w:rsidR="007710BE" w:rsidRPr="00512616" w:rsidRDefault="00512616" w:rsidP="00ED03B9">
            <w:pPr>
              <w:rPr>
                <w:rFonts w:ascii="Times New Roman" w:hAnsi="Times New Roman" w:cs="Times New Roman"/>
              </w:rPr>
            </w:pPr>
            <w:r>
              <w:rPr>
                <w:rFonts w:ascii="Times New Roman" w:hAnsi="Times New Roman" w:cs="Times New Roman"/>
              </w:rPr>
              <w:t>3270,00</w:t>
            </w:r>
          </w:p>
        </w:tc>
        <w:tc>
          <w:tcPr>
            <w:tcW w:w="1134" w:type="dxa"/>
            <w:shd w:val="clear" w:color="auto" w:fill="auto"/>
          </w:tcPr>
          <w:p w:rsidR="007710BE" w:rsidRPr="00512616" w:rsidRDefault="009209C4" w:rsidP="00ED03B9">
            <w:pPr>
              <w:rPr>
                <w:rFonts w:ascii="Times New Roman" w:hAnsi="Times New Roman" w:cs="Times New Roman"/>
              </w:rPr>
            </w:pPr>
            <w:r>
              <w:rPr>
                <w:rFonts w:ascii="Times New Roman" w:hAnsi="Times New Roman" w:cs="Times New Roman"/>
              </w:rPr>
              <w:t>3956,70</w:t>
            </w:r>
          </w:p>
        </w:tc>
      </w:tr>
      <w:tr w:rsidR="00917C73" w:rsidRPr="00D6687D" w:rsidTr="00917C73">
        <w:trPr>
          <w:trHeight w:val="235"/>
        </w:trPr>
        <w:tc>
          <w:tcPr>
            <w:tcW w:w="738" w:type="dxa"/>
            <w:shd w:val="clear" w:color="auto" w:fill="auto"/>
          </w:tcPr>
          <w:p w:rsidR="00917C73" w:rsidRPr="00D6687D" w:rsidRDefault="00917C73" w:rsidP="00ED03B9">
            <w:pPr>
              <w:rPr>
                <w:rFonts w:ascii="Times New Roman" w:hAnsi="Times New Roman" w:cs="Times New Roman"/>
              </w:rPr>
            </w:pPr>
          </w:p>
        </w:tc>
        <w:tc>
          <w:tcPr>
            <w:tcW w:w="13120" w:type="dxa"/>
            <w:gridSpan w:val="11"/>
            <w:shd w:val="clear" w:color="auto" w:fill="auto"/>
          </w:tcPr>
          <w:p w:rsidR="00917C73" w:rsidRPr="00363A26" w:rsidRDefault="00917C73" w:rsidP="001743F2">
            <w:pPr>
              <w:rPr>
                <w:rFonts w:ascii="Times New Roman" w:hAnsi="Times New Roman" w:cs="Times New Roman"/>
                <w:b/>
              </w:rPr>
            </w:pPr>
            <w:r w:rsidRPr="00363A26">
              <w:rPr>
                <w:rFonts w:ascii="Times New Roman" w:hAnsi="Times New Roman" w:cs="Times New Roman"/>
                <w:b/>
              </w:rPr>
              <w:t xml:space="preserve">Pirkimo dalies Nr. </w:t>
            </w:r>
            <w:r w:rsidR="001743F2">
              <w:rPr>
                <w:rFonts w:ascii="Times New Roman" w:hAnsi="Times New Roman" w:cs="Times New Roman"/>
                <w:b/>
              </w:rPr>
              <w:t>36</w:t>
            </w:r>
            <w:r w:rsidRPr="00363A26">
              <w:rPr>
                <w:rFonts w:ascii="Times New Roman" w:hAnsi="Times New Roman" w:cs="Times New Roman"/>
                <w:b/>
              </w:rPr>
              <w:t xml:space="preserve"> bendra pasiūlymo kaina su PVM</w:t>
            </w:r>
          </w:p>
        </w:tc>
        <w:tc>
          <w:tcPr>
            <w:tcW w:w="1134" w:type="dxa"/>
            <w:shd w:val="clear" w:color="auto" w:fill="auto"/>
          </w:tcPr>
          <w:p w:rsidR="00917C73" w:rsidRPr="00512616" w:rsidRDefault="009209C4" w:rsidP="00ED03B9">
            <w:pPr>
              <w:rPr>
                <w:rFonts w:ascii="Times New Roman" w:hAnsi="Times New Roman" w:cs="Times New Roman"/>
                <w:b/>
              </w:rPr>
            </w:pPr>
            <w:r>
              <w:rPr>
                <w:rFonts w:ascii="Times New Roman" w:hAnsi="Times New Roman" w:cs="Times New Roman"/>
                <w:b/>
              </w:rPr>
              <w:t>7132,95</w:t>
            </w:r>
          </w:p>
        </w:tc>
      </w:tr>
    </w:tbl>
    <w:p w:rsidR="007710BE" w:rsidRPr="00D6687D" w:rsidRDefault="007710BE" w:rsidP="007710BE">
      <w:pPr>
        <w:rPr>
          <w:rFonts w:ascii="Times New Roman" w:hAnsi="Times New Roman" w:cs="Times New Roman"/>
          <w:b/>
        </w:rPr>
      </w:pPr>
      <w:bookmarkStart w:id="3" w:name="_Hlk518923414"/>
    </w:p>
    <w:bookmarkEnd w:id="3"/>
    <w:p w:rsidR="007710BE" w:rsidRPr="00D6687D" w:rsidRDefault="007710BE" w:rsidP="007710BE">
      <w:pPr>
        <w:rPr>
          <w:rFonts w:ascii="Times New Roman" w:hAnsi="Times New Roman" w:cs="Times New Roman"/>
        </w:rPr>
      </w:pP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Jei pagal  Europos Sąjungos direktyvą 93/42/EEB „Medicinos prietaisai” siūlomos prekės yra priskiriamos kuriai nors vienai direktyvoje nurodytai medicinos prietaisų IIa, IIb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0 k.d.)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3C5239">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3C5239"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51" w:rsidRDefault="00045D51" w:rsidP="00406EE2">
      <w:r>
        <w:separator/>
      </w:r>
    </w:p>
  </w:endnote>
  <w:endnote w:type="continuationSeparator" w:id="0">
    <w:p w:rsidR="00045D51" w:rsidRDefault="00045D51"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51" w:rsidRDefault="00045D51" w:rsidP="00406EE2">
      <w:r>
        <w:separator/>
      </w:r>
    </w:p>
  </w:footnote>
  <w:footnote w:type="continuationSeparator" w:id="0">
    <w:p w:rsidR="00045D51" w:rsidRDefault="00045D51"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3A84"/>
    <w:rsid w:val="000446A9"/>
    <w:rsid w:val="000449D8"/>
    <w:rsid w:val="00045D51"/>
    <w:rsid w:val="00052647"/>
    <w:rsid w:val="0007412E"/>
    <w:rsid w:val="00074C6B"/>
    <w:rsid w:val="0007665C"/>
    <w:rsid w:val="000809B7"/>
    <w:rsid w:val="000A7093"/>
    <w:rsid w:val="000B4E2D"/>
    <w:rsid w:val="000C1068"/>
    <w:rsid w:val="000D61A7"/>
    <w:rsid w:val="000E2B43"/>
    <w:rsid w:val="000E4033"/>
    <w:rsid w:val="000E7F08"/>
    <w:rsid w:val="000F4880"/>
    <w:rsid w:val="001008D5"/>
    <w:rsid w:val="00106A41"/>
    <w:rsid w:val="001440AE"/>
    <w:rsid w:val="001549F1"/>
    <w:rsid w:val="00165E1A"/>
    <w:rsid w:val="00166AE4"/>
    <w:rsid w:val="001743F2"/>
    <w:rsid w:val="0017478A"/>
    <w:rsid w:val="001767F3"/>
    <w:rsid w:val="0019783A"/>
    <w:rsid w:val="001A150F"/>
    <w:rsid w:val="001A1599"/>
    <w:rsid w:val="001A6F90"/>
    <w:rsid w:val="001B70B1"/>
    <w:rsid w:val="001F1745"/>
    <w:rsid w:val="001F77A9"/>
    <w:rsid w:val="00203D0C"/>
    <w:rsid w:val="00207690"/>
    <w:rsid w:val="00216AE8"/>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F1394"/>
    <w:rsid w:val="002F38A7"/>
    <w:rsid w:val="002F51B4"/>
    <w:rsid w:val="0030731E"/>
    <w:rsid w:val="0031028E"/>
    <w:rsid w:val="00320EE5"/>
    <w:rsid w:val="003233CD"/>
    <w:rsid w:val="003278C7"/>
    <w:rsid w:val="00331086"/>
    <w:rsid w:val="00331DC4"/>
    <w:rsid w:val="00332628"/>
    <w:rsid w:val="00345F36"/>
    <w:rsid w:val="00346CE2"/>
    <w:rsid w:val="00350C67"/>
    <w:rsid w:val="003530E3"/>
    <w:rsid w:val="00363A26"/>
    <w:rsid w:val="0037314F"/>
    <w:rsid w:val="003737AF"/>
    <w:rsid w:val="00376F88"/>
    <w:rsid w:val="003773A7"/>
    <w:rsid w:val="003852B2"/>
    <w:rsid w:val="003940B1"/>
    <w:rsid w:val="003A4D56"/>
    <w:rsid w:val="003B0FD7"/>
    <w:rsid w:val="003B6381"/>
    <w:rsid w:val="003C5239"/>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B1DDE"/>
    <w:rsid w:val="004C5221"/>
    <w:rsid w:val="004C5A2D"/>
    <w:rsid w:val="004C734D"/>
    <w:rsid w:val="004D4AD1"/>
    <w:rsid w:val="004E1DE6"/>
    <w:rsid w:val="004E3A0C"/>
    <w:rsid w:val="004F33D0"/>
    <w:rsid w:val="004F4C95"/>
    <w:rsid w:val="005043C9"/>
    <w:rsid w:val="00511A10"/>
    <w:rsid w:val="00512616"/>
    <w:rsid w:val="00517C80"/>
    <w:rsid w:val="00537660"/>
    <w:rsid w:val="005531C8"/>
    <w:rsid w:val="00553E6D"/>
    <w:rsid w:val="00590647"/>
    <w:rsid w:val="005A03C4"/>
    <w:rsid w:val="005B01E1"/>
    <w:rsid w:val="005B3E9D"/>
    <w:rsid w:val="005D4CF2"/>
    <w:rsid w:val="005E05C5"/>
    <w:rsid w:val="005E5E17"/>
    <w:rsid w:val="006028DB"/>
    <w:rsid w:val="006054F1"/>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85DB7"/>
    <w:rsid w:val="00694968"/>
    <w:rsid w:val="00697EE1"/>
    <w:rsid w:val="006A7221"/>
    <w:rsid w:val="006B29A3"/>
    <w:rsid w:val="006B2D5B"/>
    <w:rsid w:val="006B33B0"/>
    <w:rsid w:val="006B34EA"/>
    <w:rsid w:val="006B50DF"/>
    <w:rsid w:val="006C02FD"/>
    <w:rsid w:val="006C4B20"/>
    <w:rsid w:val="006F0C14"/>
    <w:rsid w:val="006F2ABC"/>
    <w:rsid w:val="006F4D9E"/>
    <w:rsid w:val="00704305"/>
    <w:rsid w:val="00717604"/>
    <w:rsid w:val="00720813"/>
    <w:rsid w:val="00727A5B"/>
    <w:rsid w:val="00741E9C"/>
    <w:rsid w:val="0074264B"/>
    <w:rsid w:val="00747A61"/>
    <w:rsid w:val="0075089E"/>
    <w:rsid w:val="00750CFE"/>
    <w:rsid w:val="00755A67"/>
    <w:rsid w:val="00760AEC"/>
    <w:rsid w:val="007650F2"/>
    <w:rsid w:val="007656E6"/>
    <w:rsid w:val="00765DBF"/>
    <w:rsid w:val="007710BE"/>
    <w:rsid w:val="00773356"/>
    <w:rsid w:val="007814F0"/>
    <w:rsid w:val="0078732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6C6A"/>
    <w:rsid w:val="00857E3D"/>
    <w:rsid w:val="0086276F"/>
    <w:rsid w:val="00880F15"/>
    <w:rsid w:val="00883C67"/>
    <w:rsid w:val="00885A9C"/>
    <w:rsid w:val="008A3565"/>
    <w:rsid w:val="008B539E"/>
    <w:rsid w:val="008B5F89"/>
    <w:rsid w:val="008C5B4E"/>
    <w:rsid w:val="008D6429"/>
    <w:rsid w:val="008E073C"/>
    <w:rsid w:val="008E7395"/>
    <w:rsid w:val="008F207A"/>
    <w:rsid w:val="00907424"/>
    <w:rsid w:val="00911131"/>
    <w:rsid w:val="00917C73"/>
    <w:rsid w:val="009209C4"/>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4FCF"/>
    <w:rsid w:val="009F77E0"/>
    <w:rsid w:val="00A1322D"/>
    <w:rsid w:val="00A30389"/>
    <w:rsid w:val="00A317CC"/>
    <w:rsid w:val="00A32F6F"/>
    <w:rsid w:val="00A40653"/>
    <w:rsid w:val="00A473C8"/>
    <w:rsid w:val="00A533CE"/>
    <w:rsid w:val="00A61A19"/>
    <w:rsid w:val="00A6382E"/>
    <w:rsid w:val="00A72C8F"/>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00341"/>
    <w:rsid w:val="00B12FA6"/>
    <w:rsid w:val="00B13DF2"/>
    <w:rsid w:val="00B244A1"/>
    <w:rsid w:val="00B3685A"/>
    <w:rsid w:val="00B44768"/>
    <w:rsid w:val="00B50069"/>
    <w:rsid w:val="00B647B8"/>
    <w:rsid w:val="00B769C8"/>
    <w:rsid w:val="00B76F24"/>
    <w:rsid w:val="00B8756F"/>
    <w:rsid w:val="00B94A26"/>
    <w:rsid w:val="00BA2524"/>
    <w:rsid w:val="00BA743E"/>
    <w:rsid w:val="00BB73F1"/>
    <w:rsid w:val="00BF26B9"/>
    <w:rsid w:val="00BF5A18"/>
    <w:rsid w:val="00C01798"/>
    <w:rsid w:val="00C24932"/>
    <w:rsid w:val="00C36C1E"/>
    <w:rsid w:val="00C3756E"/>
    <w:rsid w:val="00C41299"/>
    <w:rsid w:val="00C477F9"/>
    <w:rsid w:val="00C610E3"/>
    <w:rsid w:val="00C628C4"/>
    <w:rsid w:val="00C757CE"/>
    <w:rsid w:val="00C8242E"/>
    <w:rsid w:val="00C842A2"/>
    <w:rsid w:val="00C9571C"/>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742AF"/>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A0274"/>
    <w:rsid w:val="00FA1CD1"/>
    <w:rsid w:val="00FB4C5A"/>
    <w:rsid w:val="00FB5CE0"/>
    <w:rsid w:val="00FB7B06"/>
    <w:rsid w:val="00FC2454"/>
    <w:rsid w:val="00FC36DA"/>
    <w:rsid w:val="00FC56D6"/>
    <w:rsid w:val="00FD02FD"/>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5DBF"/>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5DBF"/>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89772-E4DE-4391-8291-C25B2885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3847</Words>
  <Characters>2194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2018-12-31T10:05:00Z</dcterms:created>
  <dcterms:modified xsi:type="dcterms:W3CDTF">2018-12-31T10:05:00Z</dcterms:modified>
</cp:coreProperties>
</file>