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t xml:space="preserve">Nekilnojamojo turto (patalpų) nuomos sutarties, </w:t>
      </w:r>
    </w:p>
    <w:p>
      <w:pPr>
        <w:pStyle w:val="Normal"/>
        <w:rPr/>
      </w:pPr>
      <w:r>
        <w:rPr/>
        <w:t xml:space="preserve">                                                                                    </w:t>
      </w:r>
      <w:r>
        <w:rPr/>
        <w:t>sudarytos 2025 m. rugsėjo 30 d. Nr. 1</w:t>
      </w:r>
    </w:p>
    <w:p>
      <w:pPr>
        <w:pStyle w:val="Normal"/>
        <w:jc w:val="center"/>
        <w:rPr/>
      </w:pPr>
      <w:r>
        <w:rPr/>
        <w:t xml:space="preserve">                             </w:t>
      </w:r>
      <w:r>
        <w:rPr/>
        <w:t>priedas Nr. 1</w:t>
      </w:r>
    </w:p>
    <w:p>
      <w:pPr>
        <w:pStyle w:val="Normal"/>
        <w:rPr/>
      </w:pPr>
      <w:r>
        <w:rPr/>
      </w:r>
    </w:p>
    <w:p>
      <w:pPr>
        <w:pStyle w:val="Normal"/>
        <w:jc w:val="center"/>
        <w:rPr>
          <w:b/>
          <w:b/>
          <w:bCs/>
        </w:rPr>
      </w:pPr>
      <w:r>
        <w:rPr>
          <w:b/>
          <w:bCs/>
        </w:rPr>
        <w:t>NEKILNOJAMOJO TURTO (PATALPŲ) NUOMOS SUTARTIES NR. 1, SUDARYTOS SU AIRIDU PETRĖNU 2025 M. RUGSĖJO 30 D.,</w:t>
      </w:r>
    </w:p>
    <w:p>
      <w:pPr>
        <w:pStyle w:val="Normal"/>
        <w:jc w:val="center"/>
        <w:rPr>
          <w:b/>
          <w:b/>
          <w:bCs/>
        </w:rPr>
      </w:pPr>
      <w:r>
        <w:rPr>
          <w:b/>
          <w:bCs/>
        </w:rPr>
        <w:t>PAKEITIMAS NR. 1</w:t>
      </w:r>
    </w:p>
    <w:p>
      <w:pPr>
        <w:pStyle w:val="Normal"/>
        <w:rPr/>
      </w:pPr>
      <w:r>
        <w:rPr/>
      </w:r>
    </w:p>
    <w:p>
      <w:pPr>
        <w:pStyle w:val="ListParagraph"/>
        <w:numPr>
          <w:ilvl w:val="0"/>
          <w:numId w:val="1"/>
        </w:numPr>
        <w:jc w:val="center"/>
        <w:rPr/>
      </w:pPr>
      <w:r>
        <w:rPr/>
        <w:t xml:space="preserve"> </w:t>
      </w:r>
      <w:r>
        <w:rPr/>
        <w:t>m. spalio 14 d.</w:t>
      </w:r>
    </w:p>
    <w:p>
      <w:pPr>
        <w:pStyle w:val="ListParagraph"/>
        <w:ind w:left="840" w:hanging="0"/>
        <w:rPr/>
      </w:pPr>
      <w:r>
        <w:rPr/>
        <w:t xml:space="preserve">                                                                 </w:t>
      </w:r>
      <w:r>
        <w:rPr/>
        <w:t>Biržai</w:t>
      </w:r>
    </w:p>
    <w:p>
      <w:pPr>
        <w:pStyle w:val="Normal"/>
        <w:rPr/>
      </w:pPr>
      <w:r>
        <w:rPr/>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Šiuo Nekilnojamojo turto (patalpų) nuomos sutarties Nr. 1, sudarytos 2025 m. rugsėjo 30 d., pakeitimu Nr. 1, Šalys susitaria nuo 2025 m. spalio 14 d. pakeisti (papildyti) kai kurias Sutarties nuostatas ir jas išdėstyti taip: </w:t>
      </w:r>
    </w:p>
    <w:p>
      <w:pPr>
        <w:pStyle w:val="ListParagraph"/>
        <w:numPr>
          <w:ilvl w:val="0"/>
          <w:numId w:val="2"/>
        </w:numPr>
        <w:ind w:left="0" w:firstLine="851"/>
        <w:rPr>
          <w:rFonts w:ascii="Times New Roman" w:hAnsi="Times New Roman" w:cs="Times New Roman"/>
        </w:rPr>
      </w:pPr>
      <w:r>
        <w:rPr>
          <w:rFonts w:cs="Times New Roman" w:ascii="Times New Roman" w:hAnsi="Times New Roman"/>
        </w:rPr>
        <w:t>Sutarties 3 punkto 3.1 papunktis keičiamas ir išdėstomas taip:</w:t>
      </w:r>
    </w:p>
    <w:p>
      <w:pPr>
        <w:pStyle w:val="Normal"/>
        <w:ind w:firstLine="709"/>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Nuomininkas įsipareigoja už nuomojamą turtą mokėti Nuomotojui nuomos mokestį, kurio bendra suma yra 236,00 Eur (du šimtai trisdešimt šeši eurai). </w:t>
      </w:r>
    </w:p>
    <w:p>
      <w:pPr>
        <w:pStyle w:val="Normal"/>
        <w:ind w:firstLine="709"/>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Prieš sumokėdamas nuomos mokestį, Nuomininkas, vadovaudamasis Lietuvos Respublikos gyventojų pajamų mokesčio įstatymu, išskaičiuoja 15 procentų gyventojų pajamų mokestį, t. y. 35,40 Eur (trisdešimt penkis eurus keturiasdešimt centų), ir šią sumą sumoka į valstybės biudžetą teisės aktų nustatyta tvarka. </w:t>
      </w:r>
    </w:p>
    <w:p>
      <w:pPr>
        <w:pStyle w:val="Normal"/>
        <w:ind w:firstLine="709"/>
        <w:jc w:val="both"/>
        <w:rPr>
          <w:rFonts w:ascii="Times New Roman" w:hAnsi="Times New Roman" w:cs="Times New Roman"/>
        </w:rPr>
      </w:pPr>
      <w:r>
        <w:rPr>
          <w:rFonts w:cs="Times New Roman" w:ascii="Times New Roman" w:hAnsi="Times New Roman"/>
        </w:rPr>
        <w:t>Nuomotojui Nuomininkas perveda likusią nuomos mokesčio sumą - 200,60 Eur (du šimtus eurų šešiasdešimt centų) į Nuomotojo atsiskaitomąją sąskaitą, nurodytą Sutartyje“.</w:t>
      </w:r>
    </w:p>
    <w:p>
      <w:pPr>
        <w:pStyle w:val="ListParagraph"/>
        <w:numPr>
          <w:ilvl w:val="0"/>
          <w:numId w:val="2"/>
        </w:numPr>
        <w:ind w:left="0" w:firstLine="851"/>
        <w:jc w:val="both"/>
        <w:rPr>
          <w:rFonts w:ascii="Times New Roman" w:hAnsi="Times New Roman" w:cs="Times New Roman"/>
        </w:rPr>
      </w:pPr>
      <w:r>
        <w:rPr>
          <w:rFonts w:cs="Times New Roman" w:ascii="Times New Roman" w:hAnsi="Times New Roman"/>
        </w:rPr>
        <w:t xml:space="preserve">Sutarties 3 punkto 3.3. papunktis keičiamas ir išdėstomas taip: </w:t>
      </w:r>
    </w:p>
    <w:p>
      <w:pPr>
        <w:pStyle w:val="Normal"/>
        <w:ind w:firstLine="709"/>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Nuomininkas moka nuomos mokestį kiekvieną mėnesį, ir sumoka jį </w:t>
      </w:r>
      <w:bookmarkStart w:id="0" w:name="_GoBack"/>
      <w:bookmarkEnd w:id="0"/>
      <w:r>
        <w:rPr>
          <w:rFonts w:cs="Times New Roman" w:ascii="Times New Roman" w:hAnsi="Times New Roman"/>
        </w:rPr>
        <w:t xml:space="preserve"> ne vėliau kaip iki kito mėnesio 15 (penkioliktos) kalendorinės dienos. </w:t>
      </w:r>
    </w:p>
    <w:p>
      <w:pPr>
        <w:pStyle w:val="Normal"/>
        <w:ind w:firstLine="709"/>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Jeigu ši diena yra ne darbo diena, mokėjimas atliekamas pirmą po jos einančią darbo dieną“. </w:t>
      </w:r>
    </w:p>
    <w:p>
      <w:pPr>
        <w:pStyle w:val="ListParagraph"/>
        <w:numPr>
          <w:ilvl w:val="0"/>
          <w:numId w:val="2"/>
        </w:numPr>
        <w:suppressAutoHyphens w:val="false"/>
        <w:spacing w:beforeAutospacing="1" w:afterAutospacing="1"/>
        <w:contextualSpacing/>
        <w:rPr>
          <w:rFonts w:ascii="Times New Roman" w:hAnsi="Times New Roman" w:eastAsia="Times New Roman" w:cs="Times New Roman"/>
          <w:kern w:val="0"/>
          <w:lang w:eastAsia="pl-PL" w:bidi="ar-SA"/>
        </w:rPr>
      </w:pPr>
      <w:r>
        <w:rPr>
          <w:rFonts w:eastAsia="Times New Roman" w:cs="Times New Roman" w:ascii="Times New Roman" w:hAnsi="Times New Roman"/>
          <w:kern w:val="0"/>
          <w:lang w:eastAsia="pl-PL" w:bidi="ar-SA"/>
        </w:rPr>
        <w:t>Kitos Sutarties sąlygos, kurių šiuo pakeitimu neliečiama, lieka galioti nepakitusios.</w:t>
      </w:r>
    </w:p>
    <w:p>
      <w:pPr>
        <w:pStyle w:val="Normal"/>
        <w:ind w:firstLine="709"/>
        <w:rPr>
          <w:rFonts w:ascii="Times New Roman" w:hAnsi="Times New Roman" w:cs="Times New Roman"/>
        </w:rPr>
      </w:pPr>
      <w:r>
        <w:rPr>
          <w:rFonts w:cs="Times New Roman" w:ascii="Times New Roman" w:hAnsi="Times New Roman"/>
        </w:rPr>
        <w:t>Šis Sutarties pakeitimas Nr. 1 sudarytas dviem egzemplioriais, turinčiais vienodą juridinę galią, po vieną kiekvienai Šaliai.</w:t>
      </w:r>
    </w:p>
    <w:p>
      <w:pPr>
        <w:pStyle w:val="Normal"/>
        <w:ind w:firstLine="709"/>
        <w:rPr/>
      </w:pPr>
      <w:r>
        <w:rPr/>
      </w:r>
    </w:p>
    <w:p>
      <w:pPr>
        <w:pStyle w:val="Normal"/>
        <w:ind w:firstLine="709"/>
        <w:rPr/>
      </w:pPr>
      <w:r>
        <w:rPr/>
      </w:r>
    </w:p>
    <w:p>
      <w:pPr>
        <w:pStyle w:val="Normal"/>
        <w:jc w:val="center"/>
        <w:rPr>
          <w:b/>
          <w:b/>
        </w:rPr>
      </w:pPr>
      <w:r>
        <w:rPr>
          <w:b/>
        </w:rPr>
      </w:r>
    </w:p>
    <w:tbl>
      <w:tblPr>
        <w:tblW w:w="9570" w:type="dxa"/>
        <w:jc w:val="left"/>
        <w:tblInd w:w="0" w:type="dxa"/>
        <w:tblCellMar>
          <w:top w:w="0" w:type="dxa"/>
          <w:left w:w="108" w:type="dxa"/>
          <w:bottom w:w="0" w:type="dxa"/>
          <w:right w:w="108" w:type="dxa"/>
        </w:tblCellMar>
        <w:tblLook w:firstRow="1" w:noVBand="0" w:lastRow="1" w:firstColumn="1" w:lastColumn="1" w:noHBand="0" w:val="01e0"/>
      </w:tblPr>
      <w:tblGrid>
        <w:gridCol w:w="4644"/>
        <w:gridCol w:w="4925"/>
      </w:tblGrid>
      <w:tr>
        <w:trPr/>
        <w:tc>
          <w:tcPr>
            <w:tcW w:w="4644" w:type="dxa"/>
            <w:tcBorders/>
          </w:tcPr>
          <w:p>
            <w:pPr>
              <w:pStyle w:val="Normal"/>
              <w:rPr/>
            </w:pPr>
            <w:r>
              <w:rPr>
                <w:rFonts w:eastAsia="Arial Unicode MS"/>
              </w:rPr>
              <w:t>Nuomotojas</w:t>
            </w:r>
          </w:p>
        </w:tc>
        <w:tc>
          <w:tcPr>
            <w:tcW w:w="4925" w:type="dxa"/>
            <w:tcBorders/>
          </w:tcPr>
          <w:p>
            <w:pPr>
              <w:pStyle w:val="Normal"/>
              <w:rPr/>
            </w:pPr>
            <w:r>
              <w:rPr>
                <w:rFonts w:eastAsia="Arial Unicode MS"/>
              </w:rPr>
              <w:t>Nuomininkas</w:t>
            </w:r>
          </w:p>
        </w:tc>
      </w:tr>
      <w:tr>
        <w:trPr/>
        <w:tc>
          <w:tcPr>
            <w:tcW w:w="4644" w:type="dxa"/>
            <w:tcBorders/>
          </w:tcPr>
          <w:p>
            <w:pPr>
              <w:pStyle w:val="Normal"/>
              <w:rPr>
                <w:rFonts w:eastAsia="Arial Unicode MS"/>
                <w:lang w:eastAsia="lt-LT"/>
              </w:rPr>
            </w:pPr>
            <w:r>
              <w:rPr>
                <w:rFonts w:eastAsia="Arial Unicode MS"/>
                <w:lang w:eastAsia="lt-LT"/>
              </w:rPr>
              <w:t>Airidas Petrėnas</w:t>
            </w:r>
          </w:p>
        </w:tc>
        <w:tc>
          <w:tcPr>
            <w:tcW w:w="4925" w:type="dxa"/>
            <w:tcBorders/>
          </w:tcPr>
          <w:p>
            <w:pPr>
              <w:pStyle w:val="Normal"/>
              <w:rPr>
                <w:rFonts w:eastAsia="Arial Unicode MS"/>
                <w:lang w:eastAsia="lt-LT"/>
              </w:rPr>
            </w:pPr>
            <w:r>
              <w:rPr>
                <w:rFonts w:eastAsia="Arial Unicode MS"/>
                <w:lang w:eastAsia="lt-LT"/>
              </w:rPr>
              <w:t>Biržų Vlado Jakubėno meno mokykla</w:t>
            </w:r>
          </w:p>
        </w:tc>
      </w:tr>
      <w:tr>
        <w:trPr/>
        <w:tc>
          <w:tcPr>
            <w:tcW w:w="4644" w:type="dxa"/>
            <w:tcBorders/>
          </w:tcPr>
          <w:p>
            <w:pPr>
              <w:pStyle w:val="Normal"/>
              <w:rPr>
                <w:rFonts w:eastAsia="Arial Unicode MS"/>
                <w:lang w:eastAsia="lt-LT"/>
              </w:rPr>
            </w:pPr>
            <w:r>
              <w:rPr/>
              <w:t>Adresas</w:t>
            </w:r>
            <w:r>
              <w:rPr>
                <w:rFonts w:eastAsia="Arial Unicode MS"/>
                <w:lang w:eastAsia="lt-LT"/>
              </w:rPr>
              <w:t xml:space="preserve"> </w:t>
            </w:r>
          </w:p>
        </w:tc>
        <w:tc>
          <w:tcPr>
            <w:tcW w:w="4925" w:type="dxa"/>
            <w:tcBorders/>
          </w:tcPr>
          <w:p>
            <w:pPr>
              <w:pStyle w:val="Normal"/>
              <w:tabs>
                <w:tab w:val="clear" w:pos="709"/>
                <w:tab w:val="left" w:pos="1080" w:leader="none"/>
              </w:tabs>
              <w:jc w:val="both"/>
              <w:rPr>
                <w:lang w:eastAsia="lt-LT"/>
              </w:rPr>
            </w:pPr>
            <w:r>
              <w:rPr/>
              <w:t>Adresas</w:t>
            </w:r>
            <w:r>
              <w:rPr>
                <w:lang w:eastAsia="lt-LT"/>
              </w:rPr>
              <w:t xml:space="preserve"> Kęstučio g. 6, Biržai</w:t>
            </w:r>
          </w:p>
        </w:tc>
      </w:tr>
      <w:tr>
        <w:trPr/>
        <w:tc>
          <w:tcPr>
            <w:tcW w:w="4644" w:type="dxa"/>
            <w:tcBorders/>
          </w:tcPr>
          <w:p>
            <w:pPr>
              <w:pStyle w:val="Normal"/>
              <w:rPr>
                <w:rFonts w:eastAsia="Arial Unicode MS"/>
                <w:lang w:eastAsia="lt-LT"/>
              </w:rPr>
            </w:pPr>
            <w:r>
              <w:rPr/>
              <w:t>Asmens kodas</w:t>
            </w:r>
            <w:r>
              <w:rPr>
                <w:rFonts w:eastAsia="Arial Unicode MS"/>
                <w:lang w:eastAsia="lt-LT"/>
              </w:rPr>
              <w:t xml:space="preserve"> </w:t>
            </w:r>
          </w:p>
        </w:tc>
        <w:tc>
          <w:tcPr>
            <w:tcW w:w="4925" w:type="dxa"/>
            <w:tcBorders/>
          </w:tcPr>
          <w:p>
            <w:pPr>
              <w:pStyle w:val="Normal"/>
              <w:rPr>
                <w:rFonts w:eastAsia="Arial Unicode MS"/>
                <w:lang w:eastAsia="lt-LT"/>
              </w:rPr>
            </w:pPr>
            <w:r>
              <w:rPr/>
              <w:t>Kodas</w:t>
            </w:r>
            <w:r>
              <w:rPr>
                <w:rFonts w:eastAsia="Arial Unicode MS"/>
                <w:lang w:eastAsia="lt-LT"/>
              </w:rPr>
              <w:t xml:space="preserve"> 190547931</w:t>
            </w:r>
          </w:p>
        </w:tc>
      </w:tr>
      <w:tr>
        <w:trPr/>
        <w:tc>
          <w:tcPr>
            <w:tcW w:w="4644" w:type="dxa"/>
            <w:tcBorders/>
          </w:tcPr>
          <w:p>
            <w:pPr>
              <w:pStyle w:val="Normal"/>
              <w:rPr>
                <w:rFonts w:eastAsia="Arial Unicode MS"/>
                <w:lang w:eastAsia="lt-LT"/>
              </w:rPr>
            </w:pPr>
            <w:r>
              <w:rPr>
                <w:rFonts w:eastAsia="Arial Unicode MS"/>
                <w:lang w:eastAsia="lt-LT"/>
              </w:rPr>
            </w:r>
          </w:p>
          <w:p>
            <w:pPr>
              <w:pStyle w:val="Normal"/>
              <w:rPr>
                <w:rFonts w:eastAsia="Arial Unicode MS"/>
                <w:lang w:eastAsia="lt-LT"/>
              </w:rPr>
            </w:pPr>
            <w:r>
              <w:rPr>
                <w:rFonts w:eastAsia="Arial Unicode MS"/>
                <w:lang w:eastAsia="lt-LT"/>
              </w:rPr>
            </w:r>
          </w:p>
        </w:tc>
        <w:tc>
          <w:tcPr>
            <w:tcW w:w="4925" w:type="dxa"/>
            <w:tcBorders/>
          </w:tcPr>
          <w:p>
            <w:pPr>
              <w:pStyle w:val="Normal"/>
              <w:rPr>
                <w:rFonts w:eastAsia="Arial Unicode MS"/>
                <w:strike/>
                <w:lang w:eastAsia="lt-LT"/>
              </w:rPr>
            </w:pPr>
            <w:r>
              <w:rPr>
                <w:rFonts w:eastAsia="Arial Unicode MS"/>
                <w:strike/>
                <w:lang w:eastAsia="lt-LT"/>
              </w:rPr>
            </w:r>
          </w:p>
        </w:tc>
      </w:tr>
      <w:tr>
        <w:trPr/>
        <w:tc>
          <w:tcPr>
            <w:tcW w:w="4644" w:type="dxa"/>
            <w:tcBorders/>
          </w:tcPr>
          <w:p>
            <w:pPr>
              <w:pStyle w:val="Normal"/>
              <w:rPr/>
            </w:pPr>
            <w:r>
              <w:rPr/>
            </w:r>
          </w:p>
        </w:tc>
        <w:tc>
          <w:tcPr>
            <w:tcW w:w="4925" w:type="dxa"/>
            <w:tcBorders/>
          </w:tcPr>
          <w:p>
            <w:pPr>
              <w:pStyle w:val="Normal"/>
              <w:rPr/>
            </w:pPr>
            <w:r>
              <w:rPr/>
            </w:r>
          </w:p>
        </w:tc>
      </w:tr>
      <w:tr>
        <w:trPr/>
        <w:tc>
          <w:tcPr>
            <w:tcW w:w="4644" w:type="dxa"/>
            <w:tcBorders/>
          </w:tcPr>
          <w:p>
            <w:pPr>
              <w:pStyle w:val="Normal"/>
              <w:rPr>
                <w:lang w:eastAsia="lt-LT"/>
              </w:rPr>
            </w:pPr>
            <w:r>
              <w:rPr/>
              <w:t>Airidas Petrėnas ___________________</w:t>
            </w:r>
          </w:p>
        </w:tc>
        <w:tc>
          <w:tcPr>
            <w:tcW w:w="4925" w:type="dxa"/>
            <w:tcBorders/>
          </w:tcPr>
          <w:p>
            <w:pPr>
              <w:pStyle w:val="Normal"/>
              <w:rPr/>
            </w:pPr>
            <w:r>
              <w:rPr/>
              <w:t xml:space="preserve">Direktorė Edita Timukienė _________________ </w:t>
            </w:r>
          </w:p>
        </w:tc>
      </w:tr>
      <w:tr>
        <w:trPr/>
        <w:tc>
          <w:tcPr>
            <w:tcW w:w="4644" w:type="dxa"/>
            <w:tcBorders/>
          </w:tcPr>
          <w:p>
            <w:pPr>
              <w:pStyle w:val="Normal"/>
              <w:rPr>
                <w:lang w:eastAsia="lt-LT"/>
              </w:rPr>
            </w:pPr>
            <w:r>
              <w:rPr>
                <w:lang w:eastAsia="lt-LT"/>
              </w:rPr>
            </w:r>
          </w:p>
        </w:tc>
        <w:tc>
          <w:tcPr>
            <w:tcW w:w="4925" w:type="dxa"/>
            <w:tcBorders/>
          </w:tcPr>
          <w:p>
            <w:pPr>
              <w:pStyle w:val="Normal"/>
              <w:rPr>
                <w:lang w:eastAsia="lt-LT"/>
              </w:rPr>
            </w:pPr>
            <w:r>
              <w:rPr/>
              <w:t>A.V.</w:t>
            </w:r>
          </w:p>
        </w:tc>
      </w:tr>
    </w:tbl>
    <w:p>
      <w:pPr>
        <w:pStyle w:val="Normal"/>
        <w:rPr>
          <w:vertAlign w:val="superscrip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025"/>
      <w:numFmt w:val="decimal"/>
      <w:lvlText w:val="%1"/>
      <w:lvlJc w:val="left"/>
      <w:pPr>
        <w:tabs>
          <w:tab w:val="num" w:pos="0"/>
        </w:tabs>
        <w:ind w:left="840" w:hanging="4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lt-L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lt-LT" w:eastAsia="zh-CN" w:bidi="hi-IN"/>
    </w:rPr>
  </w:style>
  <w:style w:type="paragraph" w:styleId="Antrat3">
    <w:name w:val="Heading 3"/>
    <w:basedOn w:val="Normal"/>
    <w:link w:val="Antrat3Diagrama"/>
    <w:uiPriority w:val="9"/>
    <w:qFormat/>
    <w:rsid w:val="00a17f4f"/>
    <w:pPr>
      <w:suppressAutoHyphens w:val="false"/>
      <w:spacing w:beforeAutospacing="1" w:afterAutospacing="1"/>
      <w:outlineLvl w:val="2"/>
    </w:pPr>
    <w:rPr>
      <w:rFonts w:ascii="Times New Roman" w:hAnsi="Times New Roman" w:eastAsia="Times New Roman" w:cs="Times New Roman"/>
      <w:b/>
      <w:bCs/>
      <w:kern w:val="0"/>
      <w:sz w:val="27"/>
      <w:szCs w:val="27"/>
      <w:lang w:val="pl-PL" w:eastAsia="pl-PL" w:bidi="ar-SA"/>
    </w:rPr>
  </w:style>
  <w:style w:type="character" w:styleId="DefaultParagraphFont" w:default="1">
    <w:name w:val="Default Paragraph Font"/>
    <w:uiPriority w:val="1"/>
    <w:semiHidden/>
    <w:unhideWhenUsed/>
    <w:qFormat/>
    <w:rPr/>
  </w:style>
  <w:style w:type="character" w:styleId="Numeravimosimboliai" w:customStyle="1">
    <w:name w:val="Numeravimo simboliai"/>
    <w:qFormat/>
    <w:rPr/>
  </w:style>
  <w:style w:type="character" w:styleId="Antrat3Diagrama" w:customStyle="1">
    <w:name w:val="Antraštė 3 Diagrama"/>
    <w:basedOn w:val="DefaultParagraphFont"/>
    <w:link w:val="Antrat3"/>
    <w:uiPriority w:val="9"/>
    <w:qFormat/>
    <w:rsid w:val="00a17f4f"/>
    <w:rPr>
      <w:rFonts w:ascii="Times New Roman" w:hAnsi="Times New Roman" w:eastAsia="Times New Roman" w:cs="Times New Roman"/>
      <w:b/>
      <w:bCs/>
      <w:kern w:val="0"/>
      <w:sz w:val="27"/>
      <w:szCs w:val="27"/>
      <w:lang w:val="pl-PL" w:eastAsia="pl-PL" w:bidi="ar-SA"/>
    </w:rPr>
  </w:style>
  <w:style w:type="character" w:styleId="Strong">
    <w:name w:val="Strong"/>
    <w:basedOn w:val="DefaultParagraphFont"/>
    <w:uiPriority w:val="22"/>
    <w:qFormat/>
    <w:rsid w:val="00a17f4f"/>
    <w:rPr>
      <w:b/>
      <w:bCs/>
    </w:rPr>
  </w:style>
  <w:style w:type="paragraph" w:styleId="Antrat">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style>
  <w:style w:type="paragraph" w:styleId="Caption">
    <w:name w:val="caption"/>
    <w:basedOn w:val="Normal"/>
    <w:next w:val="Pagrindinistekstas"/>
    <w:qFormat/>
    <w:pPr>
      <w:suppressLineNumbers/>
      <w:spacing w:before="120" w:after="120"/>
    </w:pPr>
    <w:rPr>
      <w:i/>
      <w:iCs/>
    </w:rPr>
  </w:style>
  <w:style w:type="paragraph" w:styleId="ListParagraph">
    <w:name w:val="List Paragraph"/>
    <w:basedOn w:val="Normal"/>
    <w:uiPriority w:val="34"/>
    <w:qFormat/>
    <w:rsid w:val="007d2ca0"/>
    <w:pPr>
      <w:spacing w:before="0" w:after="0"/>
      <w:ind w:left="720" w:hanging="0"/>
      <w:contextualSpacing/>
    </w:pPr>
    <w:rPr>
      <w:rFonts w:cs="Mangal"/>
      <w:szCs w:val="21"/>
    </w:rPr>
  </w:style>
  <w:style w:type="paragraph" w:styleId="NormalWeb">
    <w:name w:val="Normal (Web)"/>
    <w:basedOn w:val="Normal"/>
    <w:uiPriority w:val="99"/>
    <w:semiHidden/>
    <w:unhideWhenUsed/>
    <w:qFormat/>
    <w:rsid w:val="00a17f4f"/>
    <w:pPr>
      <w:suppressAutoHyphens w:val="false"/>
      <w:spacing w:beforeAutospacing="1" w:afterAutospacing="1"/>
    </w:pPr>
    <w:rPr>
      <w:rFonts w:ascii="Times New Roman" w:hAnsi="Times New Roman" w:eastAsia="Times New Roman" w:cs="Times New Roman"/>
      <w:kern w:val="0"/>
      <w:lang w:val="pl-PL" w:eastAsia="pl-PL"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LibreOffice/6.4.7.2$Windows_X86_64 LibreOffice_project/639b8ac485750d5696d7590a72ef1b496725cfb5</Application>
  <Pages>1</Pages>
  <Words>263</Words>
  <Characters>1632</Characters>
  <CharactersWithSpaces>2058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2025-10-14T11:54:00Z</dcterms:created>
  <dc:creator>Edita Timukienė</dc:creator>
  <dc:description/>
  <dc:language>lt-LT</dc:language>
  <cp:lastModifiedBy/>
  <dcterms:modified xsi:type="dcterms:W3CDTF">2025-10-15T15:55:32Z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