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32A213D5" w:rsidR="003969E1" w:rsidRPr="006C74A2" w:rsidRDefault="003969E1" w:rsidP="007D2C2F">
      <w:pPr>
        <w:shd w:val="clear" w:color="auto" w:fill="FFFFFF"/>
        <w:jc w:val="right"/>
        <w:rPr>
          <w:i/>
          <w:sz w:val="20"/>
        </w:rPr>
      </w:pPr>
    </w:p>
    <w:p w14:paraId="0DF472CB" w14:textId="65F5A8A3"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41BA35DB" w:rsidR="00EE3697" w:rsidRPr="006C74A2" w:rsidRDefault="00587A9E" w:rsidP="00EF2BB2">
            <w:pPr>
              <w:jc w:val="center"/>
              <w:rPr>
                <w:b/>
                <w:kern w:val="2"/>
                <w:szCs w:val="24"/>
              </w:rPr>
            </w:pPr>
            <w:r w:rsidRPr="00587A9E">
              <w:rPr>
                <w:b/>
                <w:kern w:val="2"/>
                <w:szCs w:val="24"/>
              </w:rPr>
              <w:t>„Vienkartinės medicinos pagalbos priemonės Vaisingumo centre atliekamoms procedūroms (2) 9406“</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053B50AE" w:rsidR="00EE3697" w:rsidRPr="006C74A2" w:rsidRDefault="00EE3697" w:rsidP="00EE3697">
            <w:pPr>
              <w:jc w:val="center"/>
              <w:rPr>
                <w:kern w:val="2"/>
                <w:szCs w:val="24"/>
              </w:rPr>
            </w:pPr>
            <w:r w:rsidRPr="006C74A2">
              <w:rPr>
                <w:szCs w:val="24"/>
              </w:rPr>
              <w:t>Santariškių g. 2, LT-</w:t>
            </w:r>
            <w:r w:rsidR="00A001BF" w:rsidRPr="006C74A2">
              <w:rPr>
                <w:szCs w:val="24"/>
              </w:rPr>
              <w:t>08</w:t>
            </w:r>
            <w:r w:rsidR="00A001BF">
              <w:rPr>
                <w:szCs w:val="24"/>
              </w:rPr>
              <w:t>406</w:t>
            </w:r>
            <w:r w:rsidR="00A001BF" w:rsidRPr="006C74A2">
              <w:rPr>
                <w:szCs w:val="24"/>
              </w:rPr>
              <w:t xml:space="preserve"> </w:t>
            </w:r>
            <w:r w:rsidRPr="006C74A2">
              <w:rPr>
                <w:szCs w:val="24"/>
              </w:rPr>
              <w:t>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4B689BD7" w:rsidR="00EE3697" w:rsidRPr="006C74A2" w:rsidRDefault="0030492F" w:rsidP="00EE3697">
            <w:pPr>
              <w:jc w:val="center"/>
              <w:rPr>
                <w:kern w:val="2"/>
                <w:szCs w:val="24"/>
              </w:rPr>
            </w:pPr>
            <w:r w:rsidRPr="006C74A2">
              <w:rPr>
                <w:iCs/>
              </w:rPr>
              <w:t xml:space="preserve">+370 </w:t>
            </w:r>
            <w:r w:rsidR="00EE3697" w:rsidRPr="006C74A2">
              <w:rPr>
                <w:szCs w:val="24"/>
              </w:rPr>
              <w:t xml:space="preserve"> 5 236 5000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75B80188" w:rsidR="00401327" w:rsidRPr="00CD1B9C" w:rsidRDefault="00CD1B9C" w:rsidP="00CD1B9C">
            <w:pPr>
              <w:rPr>
                <w:sz w:val="22"/>
                <w:szCs w:val="22"/>
              </w:rPr>
            </w:pPr>
            <w:r w:rsidRPr="00FB275E">
              <w:rPr>
                <w:sz w:val="22"/>
                <w:szCs w:val="22"/>
              </w:rPr>
              <w:t>A. Zapalskio IĮ „AZAS“</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38767D13" w:rsidR="00401327" w:rsidRPr="006C74A2" w:rsidRDefault="00CD1B9C" w:rsidP="00401327">
            <w:pPr>
              <w:jc w:val="center"/>
              <w:rPr>
                <w:kern w:val="2"/>
                <w:szCs w:val="24"/>
              </w:rPr>
            </w:pPr>
            <w:r w:rsidRPr="00FB275E">
              <w:rPr>
                <w:sz w:val="22"/>
                <w:szCs w:val="22"/>
              </w:rPr>
              <w:t>147838431</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101BDC0B" w:rsidR="00401327" w:rsidRPr="00CD1B9C" w:rsidRDefault="00CD1B9C" w:rsidP="00CD1B9C">
            <w:pPr>
              <w:rPr>
                <w:sz w:val="22"/>
                <w:szCs w:val="22"/>
              </w:rPr>
            </w:pPr>
            <w:r w:rsidRPr="00FB275E">
              <w:rPr>
                <w:sz w:val="22"/>
                <w:szCs w:val="22"/>
              </w:rPr>
              <w:t>Tiekimo g. 2A, LT-35289 Panevėžys</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5B1E94A7" w:rsidR="00401327" w:rsidRPr="006C74A2" w:rsidRDefault="00CD1B9C" w:rsidP="00401327">
            <w:pPr>
              <w:jc w:val="center"/>
              <w:rPr>
                <w:kern w:val="2"/>
                <w:szCs w:val="24"/>
              </w:rPr>
            </w:pPr>
            <w:r w:rsidRPr="00FB275E">
              <w:rPr>
                <w:sz w:val="22"/>
                <w:szCs w:val="22"/>
              </w:rPr>
              <w:t>LT478384314</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6D3894B8" w:rsidR="00401327" w:rsidRPr="006C74A2" w:rsidRDefault="00CD1B9C" w:rsidP="00401327">
            <w:pPr>
              <w:jc w:val="center"/>
              <w:rPr>
                <w:kern w:val="2"/>
                <w:szCs w:val="24"/>
              </w:rPr>
            </w:pPr>
            <w:r w:rsidRPr="00FB275E">
              <w:rPr>
                <w:sz w:val="22"/>
                <w:szCs w:val="22"/>
              </w:rPr>
              <w:t>LT647300010002368420</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5BEAA195" w:rsidR="00401327" w:rsidRPr="00CD1B9C" w:rsidRDefault="00CD1B9C" w:rsidP="00CD1B9C">
            <w:pPr>
              <w:rPr>
                <w:sz w:val="22"/>
                <w:szCs w:val="22"/>
              </w:rPr>
            </w:pPr>
            <w:r>
              <w:rPr>
                <w:kern w:val="2"/>
                <w:szCs w:val="24"/>
              </w:rPr>
              <w:tab/>
            </w:r>
            <w:r w:rsidRPr="00FB275E">
              <w:rPr>
                <w:sz w:val="22"/>
                <w:szCs w:val="22"/>
              </w:rPr>
              <w:t>AB Swedbank, b.k 7300</w:t>
            </w:r>
            <w:r>
              <w:rPr>
                <w:sz w:val="22"/>
                <w:szCs w:val="22"/>
              </w:rPr>
              <w:t>0</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33A5934B" w:rsidR="00401327" w:rsidRPr="006C74A2" w:rsidRDefault="00CD1B9C" w:rsidP="00401327">
            <w:pPr>
              <w:jc w:val="center"/>
              <w:rPr>
                <w:kern w:val="2"/>
                <w:szCs w:val="24"/>
              </w:rPr>
            </w:pPr>
            <w:r w:rsidRPr="00FB275E">
              <w:rPr>
                <w:sz w:val="22"/>
                <w:szCs w:val="22"/>
              </w:rPr>
              <w:t>(</w:t>
            </w:r>
            <w:r>
              <w:rPr>
                <w:sz w:val="22"/>
                <w:szCs w:val="22"/>
              </w:rPr>
              <w:t>0</w:t>
            </w:r>
            <w:r w:rsidRPr="00FB275E">
              <w:rPr>
                <w:sz w:val="22"/>
                <w:szCs w:val="22"/>
              </w:rPr>
              <w:t xml:space="preserve"> 45) 570231</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547F7035" w:rsidR="00401327" w:rsidRPr="006C74A2" w:rsidRDefault="00CD1B9C" w:rsidP="00401327">
            <w:pPr>
              <w:jc w:val="center"/>
              <w:rPr>
                <w:kern w:val="2"/>
                <w:szCs w:val="24"/>
              </w:rPr>
            </w:pPr>
            <w:r w:rsidRPr="00FB275E">
              <w:rPr>
                <w:sz w:val="22"/>
                <w:szCs w:val="22"/>
              </w:rPr>
              <w:t>info@azas.lt</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707B6D6A" w:rsidR="00401327" w:rsidRPr="006C74A2" w:rsidRDefault="00CD1B9C" w:rsidP="00401327">
            <w:pPr>
              <w:jc w:val="center"/>
              <w:rPr>
                <w:kern w:val="2"/>
                <w:szCs w:val="24"/>
              </w:rPr>
            </w:pPr>
            <w:r>
              <w:rPr>
                <w:kern w:val="2"/>
                <w:szCs w:val="24"/>
              </w:rPr>
              <w:t>Direktorius</w:t>
            </w:r>
            <w:r>
              <w:rPr>
                <w:sz w:val="22"/>
                <w:szCs w:val="22"/>
              </w:rPr>
              <w:t xml:space="preserve"> Juozas Devižis</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36560E61" w:rsidR="00401327" w:rsidRPr="006C74A2" w:rsidRDefault="00CD1B9C" w:rsidP="00401327">
            <w:pPr>
              <w:jc w:val="center"/>
              <w:rPr>
                <w:kern w:val="2"/>
                <w:szCs w:val="24"/>
              </w:rPr>
            </w:pPr>
            <w:r>
              <w:rPr>
                <w:kern w:val="2"/>
                <w:szCs w:val="24"/>
              </w:rPr>
              <w:t>Įmonės  nuostatai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3CF865"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„E. sąskaita“ priėmimą</w:t>
            </w:r>
          </w:p>
        </w:tc>
        <w:tc>
          <w:tcPr>
            <w:tcW w:w="6831" w:type="dxa"/>
            <w:gridSpan w:val="2"/>
            <w:vAlign w:val="center"/>
          </w:tcPr>
          <w:p w14:paraId="5D01861C" w14:textId="7370174E" w:rsidR="00E02AE0" w:rsidRPr="006C74A2" w:rsidRDefault="00611772" w:rsidP="00E02AE0">
            <w:pPr>
              <w:jc w:val="both"/>
              <w:rPr>
                <w:color w:val="4472C4"/>
                <w:kern w:val="2"/>
                <w:szCs w:val="24"/>
              </w:rPr>
            </w:pPr>
            <w:r>
              <w:rPr>
                <w:color w:val="4472C4"/>
                <w:kern w:val="2"/>
                <w:szCs w:val="24"/>
              </w:rPr>
              <w:t>xxx</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lastRenderedPageBreak/>
              <w:t>2.2. Tiekėjo kontaktiniai asmenys, atsakingi už Sutarties vykdymą</w:t>
            </w:r>
          </w:p>
        </w:tc>
        <w:tc>
          <w:tcPr>
            <w:tcW w:w="6831" w:type="dxa"/>
            <w:gridSpan w:val="2"/>
          </w:tcPr>
          <w:p w14:paraId="6BB1EE73" w14:textId="05666B22" w:rsidR="00E02AE0" w:rsidRPr="006C74A2" w:rsidRDefault="00611772" w:rsidP="00E02AE0">
            <w:pPr>
              <w:rPr>
                <w:color w:val="4472C4"/>
                <w:kern w:val="2"/>
                <w:szCs w:val="24"/>
              </w:rPr>
            </w:pPr>
            <w:r>
              <w:rPr>
                <w:szCs w:val="24"/>
              </w:rPr>
              <w:t>xxx</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283CF9D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w:t>
            </w:r>
            <w:r w:rsidR="00A76A61" w:rsidRPr="00A76A61">
              <w:rPr>
                <w:kern w:val="2"/>
                <w:szCs w:val="24"/>
              </w:rPr>
              <w:t>Vaisingumo centre</w:t>
            </w:r>
            <w:r w:rsidR="005C6E77">
              <w:rPr>
                <w:kern w:val="2"/>
                <w:szCs w:val="24"/>
              </w:rPr>
              <w:t xml:space="preserve"> </w:t>
            </w:r>
            <w:r w:rsidR="009E589E" w:rsidRPr="006C74A2">
              <w:rPr>
                <w:kern w:val="2"/>
                <w:szCs w:val="24"/>
              </w:rPr>
              <w:t xml:space="preserve">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58A22981" w:rsidR="00E02AE0" w:rsidRPr="006C74A2" w:rsidRDefault="00E02AE0" w:rsidP="00E02AE0">
            <w:pPr>
              <w:rPr>
                <w:kern w:val="2"/>
                <w:szCs w:val="24"/>
              </w:rPr>
            </w:pPr>
            <w:r w:rsidRPr="006C74A2">
              <w:rPr>
                <w:color w:val="000000"/>
                <w:szCs w:val="24"/>
              </w:rPr>
              <w:t xml:space="preserve">CVP IS Nr. </w:t>
            </w:r>
            <w:r w:rsidR="005979A1">
              <w:rPr>
                <w:color w:val="000000"/>
                <w:szCs w:val="24"/>
              </w:rPr>
              <w:t>622309</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082A725D"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2EDA2AA7" w:rsidR="00E02AE0" w:rsidRPr="006C74A2" w:rsidRDefault="00E02AE0" w:rsidP="00E02AE0">
            <w:pPr>
              <w:rPr>
                <w:kern w:val="2"/>
                <w:szCs w:val="24"/>
              </w:rPr>
            </w:pPr>
            <w:r w:rsidRPr="006C74A2">
              <w:rPr>
                <w:kern w:val="2"/>
                <w:szCs w:val="24"/>
              </w:rPr>
              <w:t xml:space="preserve">Elektroninis paštas užsakymams: </w:t>
            </w:r>
            <w:r w:rsidR="00CD1B9C" w:rsidRPr="00CD1B9C">
              <w:rPr>
                <w:szCs w:val="24"/>
              </w:rPr>
              <w:t>info@azas.lt</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lastRenderedPageBreak/>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77634554" w:rsidR="001608C2" w:rsidRPr="006C74A2" w:rsidRDefault="001608C2" w:rsidP="001608C2">
            <w:pPr>
              <w:jc w:val="both"/>
              <w:rPr>
                <w:kern w:val="2"/>
                <w:szCs w:val="24"/>
              </w:rPr>
            </w:pPr>
            <w:r w:rsidRPr="006C74A2">
              <w:rPr>
                <w:kern w:val="2"/>
                <w:szCs w:val="24"/>
              </w:rPr>
              <w:t xml:space="preserve">5.2.1. Pradinės Sutarties vertė yra </w:t>
            </w:r>
            <w:r w:rsidR="00BA1766">
              <w:rPr>
                <w:kern w:val="2"/>
                <w:szCs w:val="24"/>
              </w:rPr>
              <w:t>40</w:t>
            </w:r>
            <w:r w:rsidR="00900019">
              <w:rPr>
                <w:kern w:val="2"/>
                <w:szCs w:val="24"/>
              </w:rPr>
              <w:t>80,00</w:t>
            </w:r>
            <w:r w:rsidRPr="006C74A2">
              <w:rPr>
                <w:color w:val="4472C4" w:themeColor="accent1"/>
                <w:kern w:val="2"/>
                <w:szCs w:val="24"/>
              </w:rPr>
              <w:t xml:space="preserve"> </w:t>
            </w:r>
            <w:r w:rsidRPr="006C74A2">
              <w:rPr>
                <w:kern w:val="2"/>
                <w:szCs w:val="24"/>
              </w:rPr>
              <w:t xml:space="preserve">Eur, </w:t>
            </w:r>
            <w:r w:rsidR="005E5C2E">
              <w:rPr>
                <w:kern w:val="2"/>
                <w:szCs w:val="24"/>
              </w:rPr>
              <w:t>keturi</w:t>
            </w:r>
            <w:r w:rsidR="00900019">
              <w:rPr>
                <w:kern w:val="2"/>
                <w:szCs w:val="24"/>
              </w:rPr>
              <w:t xml:space="preserve"> tūkstančiai aštuoniasdešimt</w:t>
            </w:r>
            <w:r w:rsidR="00CF227F">
              <w:rPr>
                <w:kern w:val="2"/>
                <w:szCs w:val="24"/>
              </w:rPr>
              <w:t xml:space="preserve"> eurų</w:t>
            </w:r>
            <w:r w:rsidRPr="006C74A2">
              <w:rPr>
                <w:kern w:val="2"/>
                <w:szCs w:val="24"/>
              </w:rPr>
              <w:t xml:space="preserve">  be PVM. </w:t>
            </w:r>
          </w:p>
          <w:p w14:paraId="426232A4" w14:textId="688E4C0A" w:rsidR="001608C2" w:rsidRPr="006C74A2" w:rsidRDefault="001608C2" w:rsidP="001608C2">
            <w:pPr>
              <w:jc w:val="both"/>
              <w:rPr>
                <w:kern w:val="2"/>
                <w:szCs w:val="24"/>
              </w:rPr>
            </w:pPr>
            <w:r w:rsidRPr="006C74A2">
              <w:rPr>
                <w:kern w:val="2"/>
                <w:szCs w:val="24"/>
              </w:rPr>
              <w:t xml:space="preserve">PVM sudaro </w:t>
            </w:r>
            <w:r w:rsidR="005E5C2E">
              <w:rPr>
                <w:kern w:val="2"/>
                <w:szCs w:val="24"/>
              </w:rPr>
              <w:t>5</w:t>
            </w:r>
            <w:r w:rsidR="00CA4FA0">
              <w:rPr>
                <w:kern w:val="2"/>
                <w:szCs w:val="24"/>
              </w:rPr>
              <w:t>36,80</w:t>
            </w:r>
            <w:r w:rsidRPr="006C74A2">
              <w:rPr>
                <w:color w:val="4472C4" w:themeColor="accent1"/>
                <w:kern w:val="2"/>
                <w:szCs w:val="24"/>
              </w:rPr>
              <w:t xml:space="preserve"> </w:t>
            </w:r>
            <w:r w:rsidRPr="006C74A2">
              <w:rPr>
                <w:kern w:val="2"/>
                <w:szCs w:val="24"/>
              </w:rPr>
              <w:t xml:space="preserve">Eur, </w:t>
            </w:r>
            <w:r w:rsidR="00CF07FC">
              <w:rPr>
                <w:kern w:val="2"/>
                <w:szCs w:val="24"/>
              </w:rPr>
              <w:t>penki</w:t>
            </w:r>
            <w:r w:rsidR="00CA4FA0">
              <w:rPr>
                <w:kern w:val="2"/>
                <w:szCs w:val="24"/>
              </w:rPr>
              <w:t xml:space="preserve"> šimtai</w:t>
            </w:r>
            <w:r w:rsidR="00177CCB">
              <w:rPr>
                <w:kern w:val="2"/>
                <w:szCs w:val="24"/>
              </w:rPr>
              <w:t xml:space="preserve"> trisdešimt šeši eurai 80 centų</w:t>
            </w:r>
            <w:r w:rsidRPr="006C74A2">
              <w:rPr>
                <w:kern w:val="2"/>
                <w:szCs w:val="24"/>
              </w:rPr>
              <w:t xml:space="preserve">.  </w:t>
            </w:r>
          </w:p>
          <w:p w14:paraId="4C3D95FE" w14:textId="521D7314" w:rsidR="001608C2" w:rsidRPr="006C74A2" w:rsidRDefault="001608C2" w:rsidP="001608C2">
            <w:pPr>
              <w:jc w:val="both"/>
              <w:rPr>
                <w:kern w:val="2"/>
                <w:szCs w:val="24"/>
              </w:rPr>
            </w:pPr>
            <w:r w:rsidRPr="006C74A2">
              <w:rPr>
                <w:kern w:val="2"/>
                <w:szCs w:val="24"/>
              </w:rPr>
              <w:t xml:space="preserve">Sutarties kaina yra </w:t>
            </w:r>
            <w:r w:rsidR="006619B1">
              <w:rPr>
                <w:kern w:val="2"/>
                <w:szCs w:val="24"/>
              </w:rPr>
              <w:t>46</w:t>
            </w:r>
            <w:r w:rsidR="00E47DE6">
              <w:rPr>
                <w:kern w:val="2"/>
                <w:szCs w:val="24"/>
              </w:rPr>
              <w:t>16,80</w:t>
            </w:r>
            <w:r w:rsidRPr="006C74A2">
              <w:rPr>
                <w:kern w:val="2"/>
                <w:szCs w:val="24"/>
              </w:rPr>
              <w:t xml:space="preserve"> Eur, </w:t>
            </w:r>
            <w:r w:rsidR="006619B1">
              <w:rPr>
                <w:kern w:val="2"/>
                <w:szCs w:val="24"/>
              </w:rPr>
              <w:t>keturi</w:t>
            </w:r>
            <w:r w:rsidR="002D731F">
              <w:rPr>
                <w:kern w:val="2"/>
                <w:szCs w:val="24"/>
              </w:rPr>
              <w:t xml:space="preserve"> tūkstančiai </w:t>
            </w:r>
            <w:r w:rsidR="006619B1">
              <w:rPr>
                <w:kern w:val="2"/>
                <w:szCs w:val="24"/>
              </w:rPr>
              <w:t>šeši</w:t>
            </w:r>
            <w:r w:rsidR="002D731F">
              <w:rPr>
                <w:kern w:val="2"/>
                <w:szCs w:val="24"/>
              </w:rPr>
              <w:t xml:space="preserve"> šimtai šešiolika eurų </w:t>
            </w:r>
            <w:r w:rsidR="00957C43">
              <w:rPr>
                <w:kern w:val="2"/>
                <w:szCs w:val="24"/>
              </w:rPr>
              <w:t xml:space="preserve">80 centų </w:t>
            </w:r>
            <w:r w:rsidRPr="006C74A2">
              <w:rPr>
                <w:kern w:val="2"/>
                <w:szCs w:val="24"/>
              </w:rPr>
              <w:t>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30492F"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xml:space="preserve">), jeigu Vartojimo prekių ir </w:t>
            </w:r>
            <w:r w:rsidRPr="006C74A2">
              <w:rPr>
                <w:szCs w:val="24"/>
              </w:rPr>
              <w:lastRenderedPageBreak/>
              <w:t>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000000"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r w:rsidRPr="006C74A2">
              <w:rPr>
                <w:szCs w:val="24"/>
              </w:rPr>
              <w:t>Ind</w:t>
            </w:r>
            <w:r w:rsidRPr="006C74A2">
              <w:rPr>
                <w:szCs w:val="24"/>
                <w:vertAlign w:val="subscript"/>
              </w:rPr>
              <w:t>naujausias</w:t>
            </w:r>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r w:rsidRPr="006C74A2">
              <w:rPr>
                <w:szCs w:val="24"/>
              </w:rPr>
              <w:t>Ind</w:t>
            </w:r>
            <w:r w:rsidRPr="006C74A2">
              <w:rPr>
                <w:szCs w:val="24"/>
                <w:vertAlign w:val="subscript"/>
              </w:rPr>
              <w:t>pradžia</w:t>
            </w:r>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 xml:space="preserve">kiekio </w:t>
            </w:r>
            <w:r w:rsidRPr="006C74A2">
              <w:rPr>
                <w:b/>
                <w:bCs/>
                <w:kern w:val="2"/>
                <w:szCs w:val="24"/>
                <w:u w:val="single"/>
              </w:rPr>
              <w:lastRenderedPageBreak/>
              <w:t>(apimties)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lastRenderedPageBreak/>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12705D34" w:rsidR="00E02AE0" w:rsidRPr="006C74A2" w:rsidRDefault="00171060" w:rsidP="00E02AE0">
            <w:pPr>
              <w:jc w:val="both"/>
              <w:rPr>
                <w:kern w:val="2"/>
                <w:szCs w:val="24"/>
              </w:rPr>
            </w:pPr>
            <w:r w:rsidRPr="006C74A2">
              <w:rPr>
                <w:kern w:val="2"/>
                <w:szCs w:val="24"/>
              </w:rPr>
              <w:t xml:space="preserve">Prekėms nustatomas Tiekėjo pasiūlytas arba Prekių gamintojo taikomas Garantinis terminas. </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08C389BD" w14:textId="44C504E8" w:rsidR="007029A5" w:rsidRPr="006C74A2" w:rsidRDefault="007029A5" w:rsidP="007029A5">
            <w:pPr>
              <w:jc w:val="both"/>
              <w:rPr>
                <w:b/>
                <w:bCs/>
                <w:kern w:val="2"/>
                <w:szCs w:val="24"/>
              </w:rPr>
            </w:pP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30492F">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30492F">
              <w:rPr>
                <w:color w:val="000000"/>
                <w:kern w:val="2"/>
                <w:szCs w:val="24"/>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lastRenderedPageBreak/>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9.7. Tiekėjui taikomos netesybos dėl pirkimo dokumentuose nustatytų kokybinių kriterijų nepasiekimo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30492F" w:rsidRDefault="007029A5" w:rsidP="007029A5">
            <w:pPr>
              <w:rPr>
                <w:b/>
                <w:bCs/>
                <w:kern w:val="2"/>
                <w:szCs w:val="24"/>
              </w:rPr>
            </w:pPr>
            <w:r w:rsidRPr="0030492F">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lastRenderedPageBreak/>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4A4990">
        <w:trPr>
          <w:trHeight w:val="300"/>
        </w:trPr>
        <w:tc>
          <w:tcPr>
            <w:tcW w:w="2689"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6846"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4A4990">
        <w:trPr>
          <w:trHeight w:val="300"/>
        </w:trPr>
        <w:tc>
          <w:tcPr>
            <w:tcW w:w="2689"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6846"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4A4990">
        <w:trPr>
          <w:trHeight w:val="300"/>
        </w:trPr>
        <w:tc>
          <w:tcPr>
            <w:tcW w:w="2689"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6846"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30492F">
              <w:rPr>
                <w:color w:val="000000"/>
                <w:kern w:val="2"/>
                <w:szCs w:val="24"/>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4A4990">
        <w:trPr>
          <w:trHeight w:val="416"/>
        </w:trPr>
        <w:tc>
          <w:tcPr>
            <w:tcW w:w="2689"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6846"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4A4990">
        <w:trPr>
          <w:trHeight w:val="300"/>
        </w:trPr>
        <w:tc>
          <w:tcPr>
            <w:tcW w:w="2689"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6846"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4A4990">
        <w:trPr>
          <w:trHeight w:val="300"/>
        </w:trPr>
        <w:tc>
          <w:tcPr>
            <w:tcW w:w="2689"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6846"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4A4990">
        <w:trPr>
          <w:trHeight w:val="300"/>
        </w:trPr>
        <w:tc>
          <w:tcPr>
            <w:tcW w:w="2689"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6846"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4A4990">
        <w:trPr>
          <w:trHeight w:val="300"/>
        </w:trPr>
        <w:tc>
          <w:tcPr>
            <w:tcW w:w="2689" w:type="dxa"/>
          </w:tcPr>
          <w:p w14:paraId="40B07571" w14:textId="35583F33" w:rsidR="007029A5" w:rsidRPr="006C74A2" w:rsidRDefault="007029A5" w:rsidP="007029A5">
            <w:pPr>
              <w:rPr>
                <w:b/>
                <w:bCs/>
                <w:kern w:val="2"/>
                <w:szCs w:val="24"/>
              </w:rPr>
            </w:pPr>
            <w:r w:rsidRPr="006C74A2">
              <w:rPr>
                <w:b/>
                <w:bCs/>
                <w:kern w:val="2"/>
                <w:szCs w:val="24"/>
              </w:rPr>
              <w:t>13.1.</w:t>
            </w:r>
          </w:p>
        </w:tc>
        <w:tc>
          <w:tcPr>
            <w:tcW w:w="6846"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 xml:space="preserve">12.2.1.1. elektroninę sąskaitą faktūrą, atitinkančią Europos elektroninių sąskaitų faktūrų standartą, kurio nuoroda paskelbta 2017 </w:t>
            </w:r>
            <w:r w:rsidRPr="006C74A2">
              <w:rPr>
                <w:rFonts w:ascii="inherit" w:hAnsi="inherit"/>
                <w:color w:val="000000"/>
                <w:szCs w:val="24"/>
                <w:bdr w:val="none" w:sz="0" w:space="0" w:color="auto" w:frame="1"/>
                <w:lang w:eastAsia="lt-LT"/>
              </w:rPr>
              <w:lastRenderedPageBreak/>
              <w:t>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9"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0"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lastRenderedPageBreak/>
              <w:t>14. SUTARTIES PRIEDAI</w:t>
            </w:r>
          </w:p>
        </w:tc>
      </w:tr>
      <w:tr w:rsidR="007029A5" w:rsidRPr="006C74A2" w14:paraId="17C7A2C3" w14:textId="77777777" w:rsidTr="004A4990">
        <w:trPr>
          <w:trHeight w:val="300"/>
        </w:trPr>
        <w:tc>
          <w:tcPr>
            <w:tcW w:w="2689"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6846"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42E06340" w14:textId="77777777" w:rsidR="007029A5" w:rsidRPr="00CD1B9C" w:rsidRDefault="00CD1B9C" w:rsidP="007029A5">
            <w:pPr>
              <w:jc w:val="center"/>
              <w:rPr>
                <w:szCs w:val="24"/>
              </w:rPr>
            </w:pPr>
            <w:r w:rsidRPr="00CD1B9C">
              <w:rPr>
                <w:szCs w:val="24"/>
              </w:rPr>
              <w:t xml:space="preserve">Direktorius </w:t>
            </w:r>
          </w:p>
          <w:p w14:paraId="71246038" w14:textId="0BA20D3C" w:rsidR="00CD1B9C" w:rsidRPr="006C74A2" w:rsidRDefault="00CD1B9C" w:rsidP="007029A5">
            <w:pPr>
              <w:jc w:val="center"/>
              <w:rPr>
                <w:b/>
                <w:bCs/>
                <w:kern w:val="2"/>
                <w:szCs w:val="24"/>
              </w:rPr>
            </w:pPr>
            <w:r w:rsidRPr="00CD1B9C">
              <w:rPr>
                <w:szCs w:val="24"/>
              </w:rPr>
              <w:t>Juozas Devižis</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1"/>
          <w:headerReference w:type="default" r:id="rId12"/>
          <w:footerReference w:type="even" r:id="rId13"/>
          <w:footerReference w:type="default" r:id="rId14"/>
          <w:headerReference w:type="first" r:id="rId15"/>
          <w:footerReference w:type="first" r:id="rId16"/>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149"/>
        <w:gridCol w:w="2025"/>
        <w:gridCol w:w="953"/>
        <w:gridCol w:w="816"/>
        <w:gridCol w:w="876"/>
        <w:gridCol w:w="996"/>
        <w:gridCol w:w="617"/>
        <w:gridCol w:w="913"/>
        <w:gridCol w:w="959"/>
        <w:gridCol w:w="2550"/>
      </w:tblGrid>
      <w:tr w:rsidR="00701C5D" w:rsidRPr="00A707AC" w14:paraId="144E06A4" w14:textId="77777777" w:rsidTr="00564ADD">
        <w:trPr>
          <w:cantSplit/>
          <w:trHeight w:val="2184"/>
        </w:trPr>
        <w:tc>
          <w:tcPr>
            <w:tcW w:w="916" w:type="dxa"/>
            <w:vAlign w:val="center"/>
            <w:hideMark/>
          </w:tcPr>
          <w:p w14:paraId="7AD5E305" w14:textId="77777777" w:rsidR="00701C5D" w:rsidRPr="00A707AC" w:rsidRDefault="00701C5D" w:rsidP="00A455A7">
            <w:pPr>
              <w:jc w:val="center"/>
              <w:rPr>
                <w:b/>
                <w:bCs/>
                <w:color w:val="000000"/>
                <w:sz w:val="20"/>
                <w:lang w:eastAsia="lt-LT"/>
              </w:rPr>
            </w:pPr>
            <w:r w:rsidRPr="00A707AC">
              <w:rPr>
                <w:b/>
                <w:bCs/>
                <w:color w:val="000000"/>
                <w:sz w:val="20"/>
                <w:lang w:eastAsia="lt-LT"/>
              </w:rPr>
              <w:t>Pirkimo dalies Nr.</w:t>
            </w:r>
          </w:p>
        </w:tc>
        <w:tc>
          <w:tcPr>
            <w:tcW w:w="2149" w:type="dxa"/>
            <w:vAlign w:val="center"/>
            <w:hideMark/>
          </w:tcPr>
          <w:p w14:paraId="7A733B96" w14:textId="77777777" w:rsidR="00701C5D" w:rsidRPr="00A707AC" w:rsidRDefault="00701C5D" w:rsidP="00A455A7">
            <w:pPr>
              <w:jc w:val="center"/>
              <w:rPr>
                <w:b/>
                <w:bCs/>
                <w:color w:val="000000"/>
                <w:sz w:val="20"/>
                <w:lang w:eastAsia="lt-LT"/>
              </w:rPr>
            </w:pPr>
            <w:r w:rsidRPr="00A707AC">
              <w:rPr>
                <w:b/>
                <w:bCs/>
                <w:color w:val="000000"/>
                <w:sz w:val="20"/>
                <w:lang w:eastAsia="lt-LT"/>
              </w:rPr>
              <w:t>Priemonės pavadinimas</w:t>
            </w:r>
          </w:p>
        </w:tc>
        <w:tc>
          <w:tcPr>
            <w:tcW w:w="2025" w:type="dxa"/>
            <w:vAlign w:val="center"/>
            <w:hideMark/>
          </w:tcPr>
          <w:p w14:paraId="31C1E49A" w14:textId="77777777" w:rsidR="00701C5D" w:rsidRPr="00A707AC" w:rsidRDefault="00701C5D" w:rsidP="00A455A7">
            <w:pPr>
              <w:jc w:val="center"/>
              <w:rPr>
                <w:b/>
                <w:bCs/>
                <w:color w:val="000000"/>
                <w:sz w:val="20"/>
                <w:lang w:eastAsia="lt-LT"/>
              </w:rPr>
            </w:pPr>
            <w:r w:rsidRPr="00A707AC">
              <w:rPr>
                <w:b/>
                <w:bCs/>
                <w:color w:val="000000"/>
                <w:sz w:val="20"/>
                <w:lang w:eastAsia="lt-LT"/>
              </w:rPr>
              <w:t>Reikalaujami parametrai, charakteristikos</w:t>
            </w:r>
          </w:p>
        </w:tc>
        <w:tc>
          <w:tcPr>
            <w:tcW w:w="953" w:type="dxa"/>
            <w:textDirection w:val="btLr"/>
            <w:vAlign w:val="center"/>
            <w:hideMark/>
          </w:tcPr>
          <w:p w14:paraId="766BAC34" w14:textId="77777777" w:rsidR="00701C5D" w:rsidRPr="00A707AC" w:rsidRDefault="00701C5D" w:rsidP="00A455A7">
            <w:pPr>
              <w:jc w:val="center"/>
              <w:rPr>
                <w:b/>
                <w:bCs/>
                <w:color w:val="000000"/>
                <w:sz w:val="20"/>
                <w:lang w:eastAsia="lt-LT"/>
              </w:rPr>
            </w:pPr>
            <w:r w:rsidRPr="00A707AC">
              <w:rPr>
                <w:b/>
                <w:bCs/>
                <w:color w:val="000000"/>
                <w:sz w:val="20"/>
                <w:lang w:eastAsia="lt-LT"/>
              </w:rPr>
              <w:t>Mato vnt.</w:t>
            </w:r>
          </w:p>
        </w:tc>
        <w:tc>
          <w:tcPr>
            <w:tcW w:w="816" w:type="dxa"/>
            <w:textDirection w:val="btLr"/>
            <w:vAlign w:val="center"/>
            <w:hideMark/>
          </w:tcPr>
          <w:p w14:paraId="1BBA32F1"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Preliminarus kiekis</w:t>
            </w:r>
          </w:p>
        </w:tc>
        <w:tc>
          <w:tcPr>
            <w:tcW w:w="876" w:type="dxa"/>
            <w:textDirection w:val="btLr"/>
            <w:vAlign w:val="center"/>
            <w:hideMark/>
          </w:tcPr>
          <w:p w14:paraId="448391DF"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Mato vnt. įkainis Eur be PVM</w:t>
            </w:r>
          </w:p>
        </w:tc>
        <w:tc>
          <w:tcPr>
            <w:tcW w:w="996" w:type="dxa"/>
            <w:textDirection w:val="btLr"/>
            <w:vAlign w:val="center"/>
            <w:hideMark/>
          </w:tcPr>
          <w:p w14:paraId="067FEC4F" w14:textId="77777777" w:rsidR="00701C5D" w:rsidRPr="00A707AC" w:rsidRDefault="00701C5D" w:rsidP="00A455A7">
            <w:pPr>
              <w:ind w:left="113" w:right="113"/>
              <w:jc w:val="center"/>
              <w:rPr>
                <w:b/>
                <w:bCs/>
                <w:color w:val="000000"/>
                <w:sz w:val="20"/>
                <w:lang w:eastAsia="lt-LT"/>
              </w:rPr>
            </w:pPr>
            <w:r w:rsidRPr="00A707AC">
              <w:rPr>
                <w:b/>
                <w:bCs/>
                <w:color w:val="000000"/>
                <w:kern w:val="2"/>
                <w:sz w:val="20"/>
              </w:rPr>
              <w:t>Maksimali pirkimui skirta lėšų suma</w:t>
            </w:r>
            <w:r w:rsidRPr="00A707AC">
              <w:rPr>
                <w:b/>
                <w:bCs/>
                <w:sz w:val="20"/>
                <w:lang w:eastAsia="lt-LT"/>
              </w:rPr>
              <w:t xml:space="preserve"> Eur be PVM</w:t>
            </w:r>
          </w:p>
        </w:tc>
        <w:tc>
          <w:tcPr>
            <w:tcW w:w="617" w:type="dxa"/>
            <w:textDirection w:val="btLr"/>
            <w:vAlign w:val="center"/>
            <w:hideMark/>
          </w:tcPr>
          <w:p w14:paraId="7499536F"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PVM,%</w:t>
            </w:r>
          </w:p>
        </w:tc>
        <w:tc>
          <w:tcPr>
            <w:tcW w:w="913" w:type="dxa"/>
            <w:textDirection w:val="btLr"/>
            <w:vAlign w:val="center"/>
            <w:hideMark/>
          </w:tcPr>
          <w:p w14:paraId="3922C721"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PVM suma, Eur</w:t>
            </w:r>
          </w:p>
        </w:tc>
        <w:tc>
          <w:tcPr>
            <w:tcW w:w="959" w:type="dxa"/>
            <w:textDirection w:val="btLr"/>
            <w:vAlign w:val="center"/>
            <w:hideMark/>
          </w:tcPr>
          <w:p w14:paraId="063E15EF" w14:textId="77777777" w:rsidR="00701C5D" w:rsidRPr="00A707AC" w:rsidRDefault="00701C5D" w:rsidP="00A455A7">
            <w:pPr>
              <w:ind w:left="113" w:right="113"/>
              <w:jc w:val="center"/>
              <w:rPr>
                <w:b/>
                <w:bCs/>
                <w:color w:val="000000"/>
                <w:sz w:val="20"/>
                <w:lang w:eastAsia="lt-LT"/>
              </w:rPr>
            </w:pPr>
            <w:r w:rsidRPr="00A707AC">
              <w:rPr>
                <w:b/>
                <w:bCs/>
                <w:color w:val="000000"/>
                <w:kern w:val="2"/>
                <w:sz w:val="20"/>
              </w:rPr>
              <w:t>Maksimali pirkimui skirta lėšų suma</w:t>
            </w:r>
            <w:r w:rsidRPr="00A707AC">
              <w:rPr>
                <w:b/>
                <w:bCs/>
                <w:sz w:val="20"/>
                <w:lang w:eastAsia="lt-LT"/>
              </w:rPr>
              <w:t xml:space="preserve"> Eur su PVM</w:t>
            </w:r>
          </w:p>
        </w:tc>
        <w:tc>
          <w:tcPr>
            <w:tcW w:w="2550" w:type="dxa"/>
            <w:textDirection w:val="btLr"/>
            <w:hideMark/>
          </w:tcPr>
          <w:p w14:paraId="16DC163E" w14:textId="7137A97B" w:rsidR="00701C5D" w:rsidRPr="00A707AC" w:rsidRDefault="00701C5D" w:rsidP="00A455A7">
            <w:pPr>
              <w:ind w:left="113" w:right="113"/>
              <w:jc w:val="center"/>
              <w:rPr>
                <w:b/>
                <w:bCs/>
                <w:color w:val="000000"/>
                <w:sz w:val="20"/>
                <w:lang w:eastAsia="lt-LT"/>
              </w:rPr>
            </w:pPr>
            <w:r w:rsidRPr="00A707AC">
              <w:rPr>
                <w:b/>
                <w:bCs/>
                <w:color w:val="000000"/>
                <w:sz w:val="20"/>
                <w:lang w:eastAsia="lt-LT"/>
              </w:rPr>
              <w:t>Firminis priemonių pavadinimas, gamintojas, priemonės kodas gamintojo kataloge</w:t>
            </w:r>
            <w:r w:rsidR="0053762F" w:rsidRPr="00A707AC">
              <w:rPr>
                <w:b/>
                <w:bCs/>
                <w:color w:val="000000"/>
                <w:sz w:val="20"/>
                <w:lang w:eastAsia="lt-LT"/>
              </w:rPr>
              <w:t>.</w:t>
            </w:r>
            <w:r w:rsidR="0053762F" w:rsidRPr="00A707AC">
              <w:rPr>
                <w:sz w:val="20"/>
              </w:rPr>
              <w:t xml:space="preserve"> </w:t>
            </w:r>
            <w:r w:rsidR="0053762F" w:rsidRPr="00A707AC">
              <w:rPr>
                <w:b/>
                <w:bCs/>
                <w:color w:val="000000"/>
                <w:sz w:val="20"/>
                <w:lang w:eastAsia="lt-LT"/>
              </w:rPr>
              <w:t>Siūloma parametro reikšmė</w:t>
            </w:r>
            <w:r w:rsidR="00A707AC" w:rsidRPr="00A707AC">
              <w:rPr>
                <w:b/>
                <w:bCs/>
                <w:color w:val="000000"/>
                <w:sz w:val="20"/>
                <w:lang w:eastAsia="lt-LT"/>
              </w:rPr>
              <w:t>.</w:t>
            </w:r>
          </w:p>
        </w:tc>
      </w:tr>
      <w:tr w:rsidR="00701C5D" w:rsidRPr="00A707AC" w14:paraId="05611D27" w14:textId="77777777" w:rsidTr="00564ADD">
        <w:trPr>
          <w:trHeight w:val="562"/>
        </w:trPr>
        <w:tc>
          <w:tcPr>
            <w:tcW w:w="916" w:type="dxa"/>
            <w:noWrap/>
          </w:tcPr>
          <w:p w14:paraId="10618B50" w14:textId="38D79929" w:rsidR="00701C5D" w:rsidRPr="00A707AC" w:rsidRDefault="00701C5D" w:rsidP="00A455A7">
            <w:pPr>
              <w:rPr>
                <w:color w:val="000000"/>
                <w:sz w:val="20"/>
                <w:lang w:eastAsia="lt-LT"/>
              </w:rPr>
            </w:pPr>
            <w:r w:rsidRPr="00A707AC">
              <w:rPr>
                <w:color w:val="000000"/>
                <w:sz w:val="20"/>
                <w:lang w:eastAsia="lt-LT"/>
              </w:rPr>
              <w:t>17</w:t>
            </w:r>
          </w:p>
        </w:tc>
        <w:tc>
          <w:tcPr>
            <w:tcW w:w="2149" w:type="dxa"/>
          </w:tcPr>
          <w:p w14:paraId="092A255A" w14:textId="07CBD130" w:rsidR="00701C5D" w:rsidRPr="00A707AC" w:rsidRDefault="00701C5D" w:rsidP="00A455A7">
            <w:pPr>
              <w:rPr>
                <w:color w:val="000000"/>
                <w:sz w:val="20"/>
                <w:lang w:eastAsia="lt-LT"/>
              </w:rPr>
            </w:pPr>
            <w:r w:rsidRPr="00A707AC">
              <w:rPr>
                <w:color w:val="000000"/>
                <w:sz w:val="20"/>
                <w:lang w:eastAsia="lt-LT"/>
              </w:rPr>
              <w:t>Daugiasluoksniai lipnūs laborotorijos/operacinės kilimėliai</w:t>
            </w:r>
          </w:p>
        </w:tc>
        <w:tc>
          <w:tcPr>
            <w:tcW w:w="2025" w:type="dxa"/>
          </w:tcPr>
          <w:p w14:paraId="30E7A465" w14:textId="34B49541" w:rsidR="00701C5D" w:rsidRPr="00A707AC" w:rsidRDefault="00701C5D" w:rsidP="00A455A7">
            <w:pPr>
              <w:rPr>
                <w:color w:val="000000"/>
                <w:sz w:val="20"/>
                <w:lang w:eastAsia="lt-LT"/>
              </w:rPr>
            </w:pPr>
            <w:r w:rsidRPr="00A707AC">
              <w:rPr>
                <w:color w:val="000000"/>
                <w:sz w:val="20"/>
                <w:lang w:eastAsia="lt-LT"/>
              </w:rPr>
              <w:t>Lipnūs antibakteriniai kilimėliai pagaminti iš polietileno, apsaugoto itin aukšto švarumo reikalaujančias patalpas nuo dulkių ir purvo. Sluoksnių kiekis ne mažiau 28vnt. Plotis 60 (+/-5cm), ilgis 110(+/-10cm). Pakuotės dydis ne mažiau 30 pakuočių sluoksninių kilimėlių.</w:t>
            </w:r>
          </w:p>
        </w:tc>
        <w:tc>
          <w:tcPr>
            <w:tcW w:w="953" w:type="dxa"/>
            <w:noWrap/>
            <w:vAlign w:val="center"/>
          </w:tcPr>
          <w:p w14:paraId="419A8118" w14:textId="0372E60B" w:rsidR="00701C5D" w:rsidRPr="00A707AC" w:rsidRDefault="00701C5D" w:rsidP="00A455A7">
            <w:pPr>
              <w:jc w:val="center"/>
              <w:rPr>
                <w:color w:val="000000"/>
                <w:sz w:val="20"/>
                <w:lang w:eastAsia="lt-LT"/>
              </w:rPr>
            </w:pPr>
            <w:r w:rsidRPr="00A707AC">
              <w:rPr>
                <w:color w:val="000000"/>
                <w:sz w:val="20"/>
                <w:lang w:eastAsia="lt-LT"/>
              </w:rPr>
              <w:t>Vnt.</w:t>
            </w:r>
          </w:p>
        </w:tc>
        <w:tc>
          <w:tcPr>
            <w:tcW w:w="816" w:type="dxa"/>
            <w:noWrap/>
            <w:vAlign w:val="center"/>
          </w:tcPr>
          <w:p w14:paraId="5F575DB8" w14:textId="03AC9ED6" w:rsidR="00701C5D" w:rsidRPr="00A707AC" w:rsidRDefault="00701C5D" w:rsidP="00A455A7">
            <w:pPr>
              <w:jc w:val="center"/>
              <w:rPr>
                <w:color w:val="000000"/>
                <w:sz w:val="20"/>
                <w:lang w:eastAsia="lt-LT"/>
              </w:rPr>
            </w:pPr>
            <w:r w:rsidRPr="00A707AC">
              <w:rPr>
                <w:color w:val="000000"/>
                <w:sz w:val="20"/>
                <w:lang w:eastAsia="lt-LT"/>
              </w:rPr>
              <w:t>1000</w:t>
            </w:r>
          </w:p>
        </w:tc>
        <w:tc>
          <w:tcPr>
            <w:tcW w:w="876" w:type="dxa"/>
            <w:noWrap/>
            <w:vAlign w:val="center"/>
          </w:tcPr>
          <w:p w14:paraId="37CBC47D" w14:textId="3FD45ACF" w:rsidR="00701C5D" w:rsidRPr="00A707AC" w:rsidRDefault="00701C5D" w:rsidP="00A455A7">
            <w:pPr>
              <w:rPr>
                <w:color w:val="000000"/>
                <w:sz w:val="20"/>
                <w:lang w:eastAsia="lt-LT"/>
              </w:rPr>
            </w:pPr>
            <w:r w:rsidRPr="00A707AC">
              <w:rPr>
                <w:color w:val="000000"/>
                <w:sz w:val="20"/>
                <w:lang w:eastAsia="lt-LT"/>
              </w:rPr>
              <w:t>0.333</w:t>
            </w:r>
            <w:r w:rsidR="0084295B" w:rsidRPr="00A707AC">
              <w:rPr>
                <w:color w:val="000000"/>
                <w:sz w:val="20"/>
                <w:lang w:eastAsia="lt-LT"/>
              </w:rPr>
              <w:t>0</w:t>
            </w:r>
          </w:p>
        </w:tc>
        <w:tc>
          <w:tcPr>
            <w:tcW w:w="996" w:type="dxa"/>
            <w:noWrap/>
            <w:vAlign w:val="center"/>
          </w:tcPr>
          <w:p w14:paraId="1F3DB7B8" w14:textId="520F67BE" w:rsidR="00701C5D" w:rsidRPr="00A707AC" w:rsidRDefault="00701C5D" w:rsidP="00A455A7">
            <w:pPr>
              <w:jc w:val="center"/>
              <w:rPr>
                <w:color w:val="000000"/>
                <w:sz w:val="20"/>
                <w:lang w:eastAsia="lt-LT"/>
              </w:rPr>
            </w:pPr>
            <w:r w:rsidRPr="00A707AC">
              <w:rPr>
                <w:color w:val="000000"/>
                <w:sz w:val="20"/>
                <w:lang w:eastAsia="lt-LT"/>
              </w:rPr>
              <w:t>2080,00</w:t>
            </w:r>
          </w:p>
        </w:tc>
        <w:tc>
          <w:tcPr>
            <w:tcW w:w="617" w:type="dxa"/>
            <w:noWrap/>
            <w:vAlign w:val="center"/>
          </w:tcPr>
          <w:p w14:paraId="1DBDCC30" w14:textId="7F9BF531" w:rsidR="00701C5D" w:rsidRPr="00A707AC" w:rsidRDefault="00701C5D" w:rsidP="00A455A7">
            <w:pPr>
              <w:jc w:val="center"/>
              <w:rPr>
                <w:color w:val="000000"/>
                <w:sz w:val="20"/>
                <w:lang w:eastAsia="lt-LT"/>
              </w:rPr>
            </w:pPr>
            <w:r w:rsidRPr="00A707AC">
              <w:rPr>
                <w:color w:val="000000"/>
                <w:sz w:val="20"/>
                <w:lang w:eastAsia="lt-LT"/>
              </w:rPr>
              <w:t>21</w:t>
            </w:r>
          </w:p>
        </w:tc>
        <w:tc>
          <w:tcPr>
            <w:tcW w:w="913" w:type="dxa"/>
            <w:noWrap/>
            <w:vAlign w:val="center"/>
          </w:tcPr>
          <w:p w14:paraId="154F05B6" w14:textId="233EE98F" w:rsidR="00701C5D" w:rsidRPr="00A707AC" w:rsidRDefault="00701C5D" w:rsidP="00A455A7">
            <w:pPr>
              <w:jc w:val="center"/>
              <w:rPr>
                <w:color w:val="000000"/>
                <w:sz w:val="20"/>
                <w:lang w:eastAsia="lt-LT"/>
              </w:rPr>
            </w:pPr>
            <w:r w:rsidRPr="00A707AC">
              <w:rPr>
                <w:color w:val="000000"/>
                <w:sz w:val="20"/>
                <w:lang w:eastAsia="lt-LT"/>
              </w:rPr>
              <w:t>436,80</w:t>
            </w:r>
          </w:p>
        </w:tc>
        <w:tc>
          <w:tcPr>
            <w:tcW w:w="959" w:type="dxa"/>
            <w:noWrap/>
            <w:vAlign w:val="center"/>
          </w:tcPr>
          <w:p w14:paraId="139ADA68" w14:textId="3CA988C6" w:rsidR="00701C5D" w:rsidRPr="00A707AC" w:rsidRDefault="00701C5D" w:rsidP="00A455A7">
            <w:pPr>
              <w:jc w:val="center"/>
              <w:rPr>
                <w:color w:val="000000"/>
                <w:sz w:val="20"/>
                <w:lang w:eastAsia="lt-LT"/>
              </w:rPr>
            </w:pPr>
            <w:r w:rsidRPr="00A707AC">
              <w:rPr>
                <w:color w:val="000000"/>
                <w:sz w:val="20"/>
                <w:lang w:eastAsia="lt-LT"/>
              </w:rPr>
              <w:t>2516,80</w:t>
            </w:r>
          </w:p>
        </w:tc>
        <w:tc>
          <w:tcPr>
            <w:tcW w:w="2550" w:type="dxa"/>
            <w:tcBorders>
              <w:bottom w:val="single" w:sz="4" w:space="0" w:color="auto"/>
            </w:tcBorders>
            <w:noWrap/>
            <w:hideMark/>
          </w:tcPr>
          <w:p w14:paraId="10CA4AF6" w14:textId="77777777" w:rsidR="00701C5D" w:rsidRPr="00A707AC" w:rsidRDefault="00701C5D" w:rsidP="00A455A7">
            <w:pPr>
              <w:rPr>
                <w:color w:val="000000"/>
                <w:sz w:val="20"/>
                <w:lang w:eastAsia="lt-LT"/>
              </w:rPr>
            </w:pPr>
          </w:p>
          <w:p w14:paraId="17158259" w14:textId="77777777" w:rsidR="00701C5D" w:rsidRPr="00A707AC" w:rsidRDefault="00701C5D" w:rsidP="00A455A7">
            <w:pPr>
              <w:rPr>
                <w:color w:val="000000"/>
                <w:sz w:val="20"/>
                <w:lang w:eastAsia="lt-LT"/>
              </w:rPr>
            </w:pPr>
          </w:p>
          <w:p w14:paraId="511BDF21" w14:textId="77777777" w:rsidR="00701C5D" w:rsidRPr="00A707AC" w:rsidRDefault="00701C5D" w:rsidP="00A455A7">
            <w:pPr>
              <w:rPr>
                <w:color w:val="000000"/>
                <w:sz w:val="20"/>
                <w:lang w:eastAsia="lt-LT"/>
              </w:rPr>
            </w:pPr>
          </w:p>
          <w:p w14:paraId="36B97F9B" w14:textId="2F364C5A" w:rsidR="00701C5D" w:rsidRPr="00A707AC" w:rsidRDefault="00701C5D" w:rsidP="00A455A7">
            <w:pPr>
              <w:rPr>
                <w:color w:val="000000"/>
                <w:sz w:val="20"/>
                <w:lang w:eastAsia="lt-LT"/>
              </w:rPr>
            </w:pPr>
            <w:r w:rsidRPr="00A707AC">
              <w:rPr>
                <w:color w:val="000000"/>
                <w:sz w:val="20"/>
                <w:lang w:eastAsia="lt-LT"/>
              </w:rPr>
              <w:t xml:space="preserve">Sert. Apr. Katal./17./Kilimėlis, įėjimo, 60 x 115 cm, 30 sl.  /CBS 3L61/BIO /CBS Medical /Italija/  </w:t>
            </w:r>
          </w:p>
        </w:tc>
      </w:tr>
      <w:tr w:rsidR="00F05865" w:rsidRPr="00A707AC" w14:paraId="12728E0D" w14:textId="77777777" w:rsidTr="00564ADD">
        <w:trPr>
          <w:trHeight w:val="562"/>
        </w:trPr>
        <w:tc>
          <w:tcPr>
            <w:tcW w:w="916" w:type="dxa"/>
            <w:noWrap/>
          </w:tcPr>
          <w:p w14:paraId="1F8CDC43" w14:textId="1FCC16EF" w:rsidR="00F05865" w:rsidRPr="00A707AC" w:rsidRDefault="00F05865" w:rsidP="00A455A7">
            <w:pPr>
              <w:rPr>
                <w:color w:val="000000"/>
                <w:sz w:val="20"/>
                <w:lang w:eastAsia="lt-LT"/>
              </w:rPr>
            </w:pPr>
            <w:r>
              <w:rPr>
                <w:color w:val="000000"/>
                <w:sz w:val="20"/>
                <w:lang w:eastAsia="lt-LT"/>
              </w:rPr>
              <w:t>38</w:t>
            </w:r>
          </w:p>
        </w:tc>
        <w:tc>
          <w:tcPr>
            <w:tcW w:w="2149" w:type="dxa"/>
          </w:tcPr>
          <w:p w14:paraId="79EAC396" w14:textId="5D8B5000" w:rsidR="00F05865" w:rsidRPr="00A707AC" w:rsidRDefault="00005594" w:rsidP="00A455A7">
            <w:pPr>
              <w:rPr>
                <w:color w:val="000000"/>
                <w:sz w:val="20"/>
                <w:lang w:eastAsia="lt-LT"/>
              </w:rPr>
            </w:pPr>
            <w:r w:rsidRPr="00005594">
              <w:rPr>
                <w:color w:val="000000"/>
                <w:sz w:val="20"/>
                <w:lang w:eastAsia="lt-LT"/>
              </w:rPr>
              <w:t>Adata 1,6x40</w:t>
            </w:r>
          </w:p>
        </w:tc>
        <w:tc>
          <w:tcPr>
            <w:tcW w:w="2025" w:type="dxa"/>
          </w:tcPr>
          <w:p w14:paraId="3E5E5C1C" w14:textId="1BBEEFBF" w:rsidR="00F05865" w:rsidRPr="00A707AC" w:rsidRDefault="00725734" w:rsidP="00A455A7">
            <w:pPr>
              <w:rPr>
                <w:color w:val="000000"/>
                <w:sz w:val="20"/>
                <w:lang w:eastAsia="lt-LT"/>
              </w:rPr>
            </w:pPr>
            <w:r w:rsidRPr="00725734">
              <w:rPr>
                <w:color w:val="000000"/>
                <w:sz w:val="20"/>
                <w:lang w:eastAsia="lt-LT"/>
              </w:rPr>
              <w:t>Vienkartinė, sterilį adata švirkštams 1,55-1,65 x 39-41mm.</w:t>
            </w:r>
          </w:p>
        </w:tc>
        <w:tc>
          <w:tcPr>
            <w:tcW w:w="953" w:type="dxa"/>
            <w:noWrap/>
            <w:vAlign w:val="center"/>
          </w:tcPr>
          <w:p w14:paraId="45007982" w14:textId="3354F643" w:rsidR="00F05865" w:rsidRPr="00A707AC" w:rsidRDefault="00725734" w:rsidP="00A455A7">
            <w:pPr>
              <w:jc w:val="center"/>
              <w:rPr>
                <w:color w:val="000000"/>
                <w:sz w:val="20"/>
                <w:lang w:eastAsia="lt-LT"/>
              </w:rPr>
            </w:pPr>
            <w:r>
              <w:rPr>
                <w:color w:val="000000"/>
                <w:sz w:val="20"/>
                <w:lang w:eastAsia="lt-LT"/>
              </w:rPr>
              <w:t>Vnt.</w:t>
            </w:r>
          </w:p>
        </w:tc>
        <w:tc>
          <w:tcPr>
            <w:tcW w:w="816" w:type="dxa"/>
            <w:noWrap/>
            <w:vAlign w:val="center"/>
          </w:tcPr>
          <w:p w14:paraId="3E425A2D" w14:textId="7E1385C1" w:rsidR="00F05865" w:rsidRPr="00A707AC" w:rsidRDefault="00AF446D" w:rsidP="00A455A7">
            <w:pPr>
              <w:jc w:val="center"/>
              <w:rPr>
                <w:color w:val="000000"/>
                <w:sz w:val="20"/>
                <w:lang w:eastAsia="lt-LT"/>
              </w:rPr>
            </w:pPr>
            <w:r>
              <w:rPr>
                <w:color w:val="000000"/>
                <w:sz w:val="20"/>
                <w:lang w:eastAsia="lt-LT"/>
              </w:rPr>
              <w:t>100000</w:t>
            </w:r>
          </w:p>
        </w:tc>
        <w:tc>
          <w:tcPr>
            <w:tcW w:w="876" w:type="dxa"/>
            <w:noWrap/>
            <w:vAlign w:val="center"/>
          </w:tcPr>
          <w:p w14:paraId="128A440C" w14:textId="7A1F0F16" w:rsidR="00F05865" w:rsidRPr="00A707AC" w:rsidRDefault="00AF446D" w:rsidP="00A455A7">
            <w:pPr>
              <w:rPr>
                <w:color w:val="000000"/>
                <w:sz w:val="20"/>
                <w:lang w:eastAsia="lt-LT"/>
              </w:rPr>
            </w:pPr>
            <w:r>
              <w:rPr>
                <w:color w:val="000000"/>
                <w:sz w:val="20"/>
                <w:lang w:eastAsia="lt-LT"/>
              </w:rPr>
              <w:t>0,0099</w:t>
            </w:r>
          </w:p>
        </w:tc>
        <w:tc>
          <w:tcPr>
            <w:tcW w:w="996" w:type="dxa"/>
            <w:noWrap/>
            <w:vAlign w:val="center"/>
          </w:tcPr>
          <w:p w14:paraId="5D612FB6" w14:textId="03AF4AC5" w:rsidR="00F05865" w:rsidRPr="00A707AC" w:rsidRDefault="00D67E82" w:rsidP="00A455A7">
            <w:pPr>
              <w:jc w:val="center"/>
              <w:rPr>
                <w:color w:val="000000"/>
                <w:sz w:val="20"/>
                <w:lang w:eastAsia="lt-LT"/>
              </w:rPr>
            </w:pPr>
            <w:r>
              <w:rPr>
                <w:color w:val="000000"/>
                <w:sz w:val="20"/>
                <w:lang w:eastAsia="lt-LT"/>
              </w:rPr>
              <w:t>2000,00</w:t>
            </w:r>
          </w:p>
        </w:tc>
        <w:tc>
          <w:tcPr>
            <w:tcW w:w="617" w:type="dxa"/>
            <w:noWrap/>
            <w:vAlign w:val="center"/>
          </w:tcPr>
          <w:p w14:paraId="74705186" w14:textId="06F35649" w:rsidR="00F05865" w:rsidRPr="00A707AC" w:rsidRDefault="00D67E82" w:rsidP="00A455A7">
            <w:pPr>
              <w:jc w:val="center"/>
              <w:rPr>
                <w:color w:val="000000"/>
                <w:sz w:val="20"/>
                <w:lang w:eastAsia="lt-LT"/>
              </w:rPr>
            </w:pPr>
            <w:r>
              <w:rPr>
                <w:color w:val="000000"/>
                <w:sz w:val="20"/>
                <w:lang w:eastAsia="lt-LT"/>
              </w:rPr>
              <w:t>5</w:t>
            </w:r>
          </w:p>
        </w:tc>
        <w:tc>
          <w:tcPr>
            <w:tcW w:w="913" w:type="dxa"/>
            <w:noWrap/>
            <w:vAlign w:val="center"/>
          </w:tcPr>
          <w:p w14:paraId="13F47DEA" w14:textId="293B8337" w:rsidR="00F05865" w:rsidRPr="00A707AC" w:rsidRDefault="00D67E82" w:rsidP="00A455A7">
            <w:pPr>
              <w:jc w:val="center"/>
              <w:rPr>
                <w:color w:val="000000"/>
                <w:sz w:val="20"/>
                <w:lang w:eastAsia="lt-LT"/>
              </w:rPr>
            </w:pPr>
            <w:r>
              <w:rPr>
                <w:color w:val="000000"/>
                <w:sz w:val="20"/>
                <w:lang w:eastAsia="lt-LT"/>
              </w:rPr>
              <w:t>100</w:t>
            </w:r>
            <w:r w:rsidR="00C81098">
              <w:rPr>
                <w:color w:val="000000"/>
                <w:sz w:val="20"/>
                <w:lang w:eastAsia="lt-LT"/>
              </w:rPr>
              <w:t>,00</w:t>
            </w:r>
          </w:p>
        </w:tc>
        <w:tc>
          <w:tcPr>
            <w:tcW w:w="959" w:type="dxa"/>
            <w:noWrap/>
            <w:vAlign w:val="center"/>
          </w:tcPr>
          <w:p w14:paraId="258F33C8" w14:textId="507A4291" w:rsidR="00F05865" w:rsidRPr="00A707AC" w:rsidRDefault="00C81098" w:rsidP="00A455A7">
            <w:pPr>
              <w:jc w:val="center"/>
              <w:rPr>
                <w:color w:val="000000"/>
                <w:sz w:val="20"/>
                <w:lang w:eastAsia="lt-LT"/>
              </w:rPr>
            </w:pPr>
            <w:r>
              <w:rPr>
                <w:color w:val="000000"/>
                <w:sz w:val="20"/>
                <w:lang w:eastAsia="lt-LT"/>
              </w:rPr>
              <w:t>2100,00</w:t>
            </w:r>
          </w:p>
        </w:tc>
        <w:tc>
          <w:tcPr>
            <w:tcW w:w="2550" w:type="dxa"/>
            <w:tcBorders>
              <w:bottom w:val="single" w:sz="4" w:space="0" w:color="auto"/>
            </w:tcBorders>
            <w:noWrap/>
          </w:tcPr>
          <w:p w14:paraId="3B39D19C" w14:textId="77777777" w:rsidR="00F05865" w:rsidRDefault="00C81098" w:rsidP="00A455A7">
            <w:pPr>
              <w:rPr>
                <w:color w:val="000000"/>
                <w:sz w:val="20"/>
                <w:lang w:eastAsia="lt-LT"/>
              </w:rPr>
            </w:pPr>
            <w:r w:rsidRPr="00C81098">
              <w:rPr>
                <w:color w:val="000000"/>
                <w:sz w:val="20"/>
                <w:lang w:eastAsia="lt-LT"/>
              </w:rPr>
              <w:t>Sert. Apr. Katal. 38 /Vienk. adata  1,6 x 40 mm 16Gx1+1/2" N100  /IN-16x40/Zarys International Group</w:t>
            </w:r>
          </w:p>
          <w:p w14:paraId="01C234DC" w14:textId="5FEFBA93" w:rsidR="00C81098" w:rsidRPr="00A707AC" w:rsidRDefault="00C81098" w:rsidP="00A455A7">
            <w:pPr>
              <w:rPr>
                <w:color w:val="000000"/>
                <w:sz w:val="20"/>
                <w:lang w:eastAsia="lt-LT"/>
              </w:rPr>
            </w:pPr>
          </w:p>
        </w:tc>
      </w:tr>
      <w:tr w:rsidR="00262F0A" w:rsidRPr="006C74A2" w14:paraId="63A66FC5" w14:textId="4F42B3B5" w:rsidTr="00564ADD">
        <w:trPr>
          <w:trHeight w:val="448"/>
        </w:trPr>
        <w:tc>
          <w:tcPr>
            <w:tcW w:w="10261" w:type="dxa"/>
            <w:gridSpan w:val="9"/>
            <w:tcBorders>
              <w:top w:val="single" w:sz="4" w:space="0" w:color="auto"/>
              <w:left w:val="single" w:sz="4" w:space="0" w:color="auto"/>
              <w:bottom w:val="single" w:sz="4" w:space="0" w:color="auto"/>
              <w:right w:val="single" w:sz="4" w:space="0" w:color="auto"/>
            </w:tcBorders>
          </w:tcPr>
          <w:p w14:paraId="75EEC271" w14:textId="42C48AEE" w:rsidR="00262F0A" w:rsidRPr="006C74A2" w:rsidRDefault="00262F0A" w:rsidP="00262F0A">
            <w:pPr>
              <w:jc w:val="right"/>
              <w:rPr>
                <w:b/>
                <w:szCs w:val="24"/>
              </w:rPr>
            </w:pPr>
            <w:r w:rsidRPr="006C74A2">
              <w:rPr>
                <w:b/>
                <w:bCs/>
                <w:szCs w:val="24"/>
                <w:lang w:eastAsia="lt-LT"/>
              </w:rPr>
              <w:t>Pradinės sutarties vertė EUR be PVM</w:t>
            </w:r>
          </w:p>
        </w:tc>
        <w:tc>
          <w:tcPr>
            <w:tcW w:w="3509" w:type="dxa"/>
            <w:gridSpan w:val="2"/>
            <w:tcBorders>
              <w:top w:val="single" w:sz="4" w:space="0" w:color="auto"/>
              <w:left w:val="single" w:sz="4" w:space="0" w:color="auto"/>
              <w:bottom w:val="single" w:sz="4" w:space="0" w:color="auto"/>
              <w:right w:val="single" w:sz="4" w:space="0" w:color="auto"/>
            </w:tcBorders>
          </w:tcPr>
          <w:p w14:paraId="4CF4F5F4" w14:textId="01DA7A9B" w:rsidR="00262F0A" w:rsidRPr="006C74A2" w:rsidRDefault="00E672D8" w:rsidP="009B404B">
            <w:pPr>
              <w:jc w:val="right"/>
              <w:rPr>
                <w:b/>
                <w:szCs w:val="24"/>
              </w:rPr>
            </w:pPr>
            <w:r>
              <w:rPr>
                <w:b/>
                <w:szCs w:val="24"/>
              </w:rPr>
              <w:t>4</w:t>
            </w:r>
            <w:r w:rsidR="00A82014">
              <w:rPr>
                <w:b/>
                <w:szCs w:val="24"/>
              </w:rPr>
              <w:t>080,00</w:t>
            </w:r>
          </w:p>
        </w:tc>
      </w:tr>
      <w:tr w:rsidR="00262F0A" w:rsidRPr="006C74A2" w14:paraId="35A4EA24" w14:textId="1D73B764" w:rsidTr="00564ADD">
        <w:trPr>
          <w:trHeight w:val="398"/>
        </w:trPr>
        <w:tc>
          <w:tcPr>
            <w:tcW w:w="10261" w:type="dxa"/>
            <w:gridSpan w:val="9"/>
            <w:tcBorders>
              <w:top w:val="single" w:sz="4" w:space="0" w:color="auto"/>
              <w:left w:val="single" w:sz="4" w:space="0" w:color="auto"/>
              <w:bottom w:val="single" w:sz="4" w:space="0" w:color="auto"/>
              <w:right w:val="single" w:sz="4" w:space="0" w:color="auto"/>
            </w:tcBorders>
          </w:tcPr>
          <w:p w14:paraId="7181C67F" w14:textId="098793FD" w:rsidR="00262F0A" w:rsidRDefault="00262F0A" w:rsidP="00262F0A">
            <w:pPr>
              <w:jc w:val="right"/>
              <w:rPr>
                <w:b/>
                <w:bCs/>
                <w:szCs w:val="24"/>
                <w:lang w:eastAsia="lt-LT"/>
              </w:rPr>
            </w:pPr>
            <w:r w:rsidRPr="006C74A2">
              <w:rPr>
                <w:b/>
                <w:bCs/>
                <w:szCs w:val="24"/>
                <w:lang w:eastAsia="lt-LT"/>
              </w:rPr>
              <w:t>PVM</w:t>
            </w:r>
            <w:r w:rsidR="00564ADD">
              <w:rPr>
                <w:b/>
                <w:bCs/>
                <w:szCs w:val="24"/>
                <w:lang w:eastAsia="lt-LT"/>
              </w:rPr>
              <w:t xml:space="preserve"> 21</w:t>
            </w:r>
            <w:r w:rsidR="00564ADD">
              <w:rPr>
                <w:rFonts w:ascii="Calibri" w:hAnsi="Calibri" w:cs="Calibri"/>
                <w:b/>
                <w:bCs/>
                <w:szCs w:val="24"/>
                <w:lang w:eastAsia="lt-LT"/>
              </w:rPr>
              <w:t>%</w:t>
            </w:r>
            <w:r w:rsidRPr="006C74A2">
              <w:rPr>
                <w:b/>
                <w:bCs/>
                <w:szCs w:val="24"/>
                <w:lang w:eastAsia="lt-LT"/>
              </w:rPr>
              <w:t xml:space="preserve"> suma, Eur</w:t>
            </w:r>
          </w:p>
          <w:p w14:paraId="031AC930" w14:textId="65229068" w:rsidR="00A62AF8" w:rsidRPr="006C74A2" w:rsidRDefault="00A62AF8" w:rsidP="00262F0A">
            <w:pPr>
              <w:jc w:val="right"/>
              <w:rPr>
                <w:b/>
                <w:szCs w:val="24"/>
              </w:rPr>
            </w:pPr>
            <w:r w:rsidRPr="00A62AF8">
              <w:rPr>
                <w:b/>
                <w:szCs w:val="24"/>
              </w:rPr>
              <w:lastRenderedPageBreak/>
              <w:t xml:space="preserve">PVM </w:t>
            </w:r>
            <w:r w:rsidR="00564ADD">
              <w:rPr>
                <w:b/>
                <w:szCs w:val="24"/>
              </w:rPr>
              <w:t xml:space="preserve">5 </w:t>
            </w:r>
            <w:r w:rsidR="00564ADD">
              <w:rPr>
                <w:rFonts w:ascii="Calibri" w:hAnsi="Calibri" w:cs="Calibri"/>
                <w:b/>
                <w:szCs w:val="24"/>
              </w:rPr>
              <w:t xml:space="preserve">% </w:t>
            </w:r>
            <w:r w:rsidRPr="00A62AF8">
              <w:rPr>
                <w:b/>
                <w:szCs w:val="24"/>
              </w:rPr>
              <w:t>suma, Eur</w:t>
            </w:r>
          </w:p>
        </w:tc>
        <w:tc>
          <w:tcPr>
            <w:tcW w:w="3509" w:type="dxa"/>
            <w:gridSpan w:val="2"/>
            <w:tcBorders>
              <w:top w:val="single" w:sz="4" w:space="0" w:color="auto"/>
              <w:left w:val="single" w:sz="4" w:space="0" w:color="auto"/>
              <w:bottom w:val="single" w:sz="4" w:space="0" w:color="auto"/>
              <w:right w:val="single" w:sz="4" w:space="0" w:color="auto"/>
            </w:tcBorders>
          </w:tcPr>
          <w:p w14:paraId="0571C354" w14:textId="7FEAE9A5" w:rsidR="00262F0A" w:rsidRDefault="00110A51" w:rsidP="009B404B">
            <w:pPr>
              <w:jc w:val="right"/>
              <w:rPr>
                <w:b/>
                <w:szCs w:val="24"/>
              </w:rPr>
            </w:pPr>
            <w:r>
              <w:rPr>
                <w:b/>
                <w:szCs w:val="24"/>
              </w:rPr>
              <w:lastRenderedPageBreak/>
              <w:t>4</w:t>
            </w:r>
            <w:r w:rsidR="00A82014">
              <w:rPr>
                <w:b/>
                <w:szCs w:val="24"/>
              </w:rPr>
              <w:t>36,80</w:t>
            </w:r>
          </w:p>
          <w:p w14:paraId="7B4F2BD9" w14:textId="4D892291" w:rsidR="00564ADD" w:rsidRPr="006C74A2" w:rsidRDefault="00564ADD" w:rsidP="009B404B">
            <w:pPr>
              <w:jc w:val="right"/>
              <w:rPr>
                <w:b/>
                <w:szCs w:val="24"/>
              </w:rPr>
            </w:pPr>
            <w:r>
              <w:rPr>
                <w:b/>
                <w:szCs w:val="24"/>
              </w:rPr>
              <w:lastRenderedPageBreak/>
              <w:t>100,00</w:t>
            </w:r>
          </w:p>
        </w:tc>
      </w:tr>
      <w:tr w:rsidR="00262F0A" w:rsidRPr="006C74A2" w14:paraId="176B4C47" w14:textId="02C2BDAF" w:rsidTr="00564ADD">
        <w:trPr>
          <w:trHeight w:val="419"/>
        </w:trPr>
        <w:tc>
          <w:tcPr>
            <w:tcW w:w="10261" w:type="dxa"/>
            <w:gridSpan w:val="9"/>
            <w:tcBorders>
              <w:top w:val="single" w:sz="4" w:space="0" w:color="auto"/>
              <w:left w:val="single" w:sz="4" w:space="0" w:color="auto"/>
              <w:bottom w:val="single" w:sz="4" w:space="0" w:color="auto"/>
              <w:right w:val="single" w:sz="4" w:space="0" w:color="auto"/>
            </w:tcBorders>
          </w:tcPr>
          <w:p w14:paraId="12B7274C" w14:textId="73780C2C" w:rsidR="00262F0A" w:rsidRPr="006C74A2" w:rsidRDefault="00262F0A" w:rsidP="00262F0A">
            <w:pPr>
              <w:jc w:val="right"/>
              <w:rPr>
                <w:b/>
                <w:szCs w:val="24"/>
              </w:rPr>
            </w:pPr>
            <w:r w:rsidRPr="006C74A2">
              <w:rPr>
                <w:b/>
                <w:bCs/>
                <w:szCs w:val="24"/>
                <w:lang w:eastAsia="lt-LT"/>
              </w:rPr>
              <w:lastRenderedPageBreak/>
              <w:t>Sutarties kaina EUR su PVM</w:t>
            </w:r>
          </w:p>
        </w:tc>
        <w:tc>
          <w:tcPr>
            <w:tcW w:w="3509" w:type="dxa"/>
            <w:gridSpan w:val="2"/>
            <w:tcBorders>
              <w:top w:val="single" w:sz="4" w:space="0" w:color="auto"/>
              <w:left w:val="single" w:sz="4" w:space="0" w:color="auto"/>
              <w:bottom w:val="single" w:sz="4" w:space="0" w:color="auto"/>
              <w:right w:val="single" w:sz="4" w:space="0" w:color="auto"/>
            </w:tcBorders>
          </w:tcPr>
          <w:p w14:paraId="03F3832C" w14:textId="47AA4F9C" w:rsidR="00262F0A" w:rsidRPr="006C74A2" w:rsidRDefault="00463390" w:rsidP="009B404B">
            <w:pPr>
              <w:jc w:val="right"/>
              <w:rPr>
                <w:b/>
                <w:szCs w:val="24"/>
              </w:rPr>
            </w:pPr>
            <w:r>
              <w:rPr>
                <w:b/>
                <w:szCs w:val="24"/>
              </w:rPr>
              <w:t>4616,80</w:t>
            </w:r>
          </w:p>
        </w:tc>
      </w:tr>
    </w:tbl>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A08" w14:textId="77777777" w:rsidR="00F81F19" w:rsidRDefault="00F81F19">
      <w:r>
        <w:separator/>
      </w:r>
    </w:p>
  </w:endnote>
  <w:endnote w:type="continuationSeparator" w:id="0">
    <w:p w14:paraId="2314B7BB" w14:textId="77777777" w:rsidR="00F81F19" w:rsidRDefault="00F8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8D79" w14:textId="77777777" w:rsidR="00F81F19" w:rsidRDefault="00F81F19">
      <w:r>
        <w:separator/>
      </w:r>
    </w:p>
  </w:footnote>
  <w:footnote w:type="continuationSeparator" w:id="0">
    <w:p w14:paraId="47CB1813" w14:textId="77777777" w:rsidR="00F81F19" w:rsidRDefault="00F8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05594"/>
    <w:rsid w:val="000419C9"/>
    <w:rsid w:val="000A5838"/>
    <w:rsid w:val="000B03AC"/>
    <w:rsid w:val="000B2476"/>
    <w:rsid w:val="000D52AC"/>
    <w:rsid w:val="000E6307"/>
    <w:rsid w:val="00110A51"/>
    <w:rsid w:val="00132B43"/>
    <w:rsid w:val="00142629"/>
    <w:rsid w:val="00151DF6"/>
    <w:rsid w:val="001608C2"/>
    <w:rsid w:val="001659B6"/>
    <w:rsid w:val="00171060"/>
    <w:rsid w:val="001740E3"/>
    <w:rsid w:val="00177CCB"/>
    <w:rsid w:val="001A0C2E"/>
    <w:rsid w:val="001F2A74"/>
    <w:rsid w:val="001F3581"/>
    <w:rsid w:val="002307B5"/>
    <w:rsid w:val="00233811"/>
    <w:rsid w:val="00242706"/>
    <w:rsid w:val="00262F0A"/>
    <w:rsid w:val="00271053"/>
    <w:rsid w:val="0028363D"/>
    <w:rsid w:val="002859F6"/>
    <w:rsid w:val="002861F9"/>
    <w:rsid w:val="00290380"/>
    <w:rsid w:val="002B362D"/>
    <w:rsid w:val="002D512C"/>
    <w:rsid w:val="002D586C"/>
    <w:rsid w:val="002D731F"/>
    <w:rsid w:val="002E3A58"/>
    <w:rsid w:val="0030492F"/>
    <w:rsid w:val="00323BDA"/>
    <w:rsid w:val="00324AAC"/>
    <w:rsid w:val="00327C7C"/>
    <w:rsid w:val="003418F0"/>
    <w:rsid w:val="003817E9"/>
    <w:rsid w:val="00392FBC"/>
    <w:rsid w:val="003969E1"/>
    <w:rsid w:val="003C177C"/>
    <w:rsid w:val="003D0A58"/>
    <w:rsid w:val="004012E3"/>
    <w:rsid w:val="00401327"/>
    <w:rsid w:val="004041B9"/>
    <w:rsid w:val="004059C2"/>
    <w:rsid w:val="00407640"/>
    <w:rsid w:val="004343C5"/>
    <w:rsid w:val="004346C8"/>
    <w:rsid w:val="00437EB8"/>
    <w:rsid w:val="00463390"/>
    <w:rsid w:val="00466E54"/>
    <w:rsid w:val="00480D2C"/>
    <w:rsid w:val="004A050D"/>
    <w:rsid w:val="004A4990"/>
    <w:rsid w:val="004B1A85"/>
    <w:rsid w:val="004D1507"/>
    <w:rsid w:val="00505D38"/>
    <w:rsid w:val="005103AD"/>
    <w:rsid w:val="0053762F"/>
    <w:rsid w:val="00542FD2"/>
    <w:rsid w:val="00551FA8"/>
    <w:rsid w:val="00564ADD"/>
    <w:rsid w:val="00587A9E"/>
    <w:rsid w:val="00595CC0"/>
    <w:rsid w:val="005979A1"/>
    <w:rsid w:val="005B09AE"/>
    <w:rsid w:val="005B4EF0"/>
    <w:rsid w:val="005B6381"/>
    <w:rsid w:val="005C6E77"/>
    <w:rsid w:val="005E2EF0"/>
    <w:rsid w:val="005E5C2E"/>
    <w:rsid w:val="005F65D3"/>
    <w:rsid w:val="005F6B4C"/>
    <w:rsid w:val="00611772"/>
    <w:rsid w:val="00646D84"/>
    <w:rsid w:val="00646DC1"/>
    <w:rsid w:val="006619B1"/>
    <w:rsid w:val="0066529F"/>
    <w:rsid w:val="006A64B0"/>
    <w:rsid w:val="006B5110"/>
    <w:rsid w:val="006C0B66"/>
    <w:rsid w:val="006C74A2"/>
    <w:rsid w:val="006D57AB"/>
    <w:rsid w:val="006F5BA7"/>
    <w:rsid w:val="00701C5D"/>
    <w:rsid w:val="007029A5"/>
    <w:rsid w:val="00703451"/>
    <w:rsid w:val="00725734"/>
    <w:rsid w:val="00731A1F"/>
    <w:rsid w:val="0075341B"/>
    <w:rsid w:val="007D2C2F"/>
    <w:rsid w:val="00802B8D"/>
    <w:rsid w:val="00805C9A"/>
    <w:rsid w:val="0083391E"/>
    <w:rsid w:val="0084295B"/>
    <w:rsid w:val="008615B9"/>
    <w:rsid w:val="008812D4"/>
    <w:rsid w:val="00881857"/>
    <w:rsid w:val="00881C41"/>
    <w:rsid w:val="008873A0"/>
    <w:rsid w:val="00887467"/>
    <w:rsid w:val="00887B56"/>
    <w:rsid w:val="00892B93"/>
    <w:rsid w:val="00896D87"/>
    <w:rsid w:val="008A17CD"/>
    <w:rsid w:val="008A7AF2"/>
    <w:rsid w:val="008F0DD2"/>
    <w:rsid w:val="00900019"/>
    <w:rsid w:val="009158CD"/>
    <w:rsid w:val="00932C4B"/>
    <w:rsid w:val="00957C43"/>
    <w:rsid w:val="00960ED5"/>
    <w:rsid w:val="009632BE"/>
    <w:rsid w:val="0098719E"/>
    <w:rsid w:val="00992356"/>
    <w:rsid w:val="0099654E"/>
    <w:rsid w:val="009A7251"/>
    <w:rsid w:val="009E589E"/>
    <w:rsid w:val="009E65BD"/>
    <w:rsid w:val="00A001BF"/>
    <w:rsid w:val="00A2147F"/>
    <w:rsid w:val="00A30F41"/>
    <w:rsid w:val="00A455A7"/>
    <w:rsid w:val="00A61408"/>
    <w:rsid w:val="00A62AF8"/>
    <w:rsid w:val="00A707AC"/>
    <w:rsid w:val="00A76A61"/>
    <w:rsid w:val="00A82014"/>
    <w:rsid w:val="00AF2D88"/>
    <w:rsid w:val="00AF446D"/>
    <w:rsid w:val="00B034D7"/>
    <w:rsid w:val="00B16690"/>
    <w:rsid w:val="00B273D3"/>
    <w:rsid w:val="00B55231"/>
    <w:rsid w:val="00B6451E"/>
    <w:rsid w:val="00B90CB5"/>
    <w:rsid w:val="00BA0145"/>
    <w:rsid w:val="00BA1766"/>
    <w:rsid w:val="00BA236F"/>
    <w:rsid w:val="00BE497C"/>
    <w:rsid w:val="00BE6AC2"/>
    <w:rsid w:val="00C17984"/>
    <w:rsid w:val="00C36C7A"/>
    <w:rsid w:val="00C516DE"/>
    <w:rsid w:val="00C7081A"/>
    <w:rsid w:val="00C735AD"/>
    <w:rsid w:val="00C81098"/>
    <w:rsid w:val="00C91E72"/>
    <w:rsid w:val="00CA3901"/>
    <w:rsid w:val="00CA4FA0"/>
    <w:rsid w:val="00CD02A6"/>
    <w:rsid w:val="00CD1B9C"/>
    <w:rsid w:val="00CD4094"/>
    <w:rsid w:val="00CD5527"/>
    <w:rsid w:val="00CF07FC"/>
    <w:rsid w:val="00CF227F"/>
    <w:rsid w:val="00D20EE8"/>
    <w:rsid w:val="00D25F23"/>
    <w:rsid w:val="00D622D6"/>
    <w:rsid w:val="00D67E82"/>
    <w:rsid w:val="00D81341"/>
    <w:rsid w:val="00D9186E"/>
    <w:rsid w:val="00D96FD2"/>
    <w:rsid w:val="00DE1404"/>
    <w:rsid w:val="00E02AE0"/>
    <w:rsid w:val="00E03FE0"/>
    <w:rsid w:val="00E068EA"/>
    <w:rsid w:val="00E24878"/>
    <w:rsid w:val="00E265FD"/>
    <w:rsid w:val="00E330FF"/>
    <w:rsid w:val="00E47DE6"/>
    <w:rsid w:val="00E672D8"/>
    <w:rsid w:val="00EA3F9D"/>
    <w:rsid w:val="00EE3697"/>
    <w:rsid w:val="00EF2BB2"/>
    <w:rsid w:val="00EF505D"/>
    <w:rsid w:val="00F038A5"/>
    <w:rsid w:val="00F05865"/>
    <w:rsid w:val="00F130C8"/>
    <w:rsid w:val="00F42312"/>
    <w:rsid w:val="00F5152A"/>
    <w:rsid w:val="00F528BE"/>
    <w:rsid w:val="00F6716F"/>
    <w:rsid w:val="00F74272"/>
    <w:rsid w:val="00F8037D"/>
    <w:rsid w:val="00F81F19"/>
    <w:rsid w:val="00F86111"/>
    <w:rsid w:val="00F95F9E"/>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10207"/>
    <w:rsid w:val="0006786A"/>
    <w:rsid w:val="000B03AC"/>
    <w:rsid w:val="00133535"/>
    <w:rsid w:val="00151BE0"/>
    <w:rsid w:val="001770A8"/>
    <w:rsid w:val="001A46B6"/>
    <w:rsid w:val="0023032B"/>
    <w:rsid w:val="002861F9"/>
    <w:rsid w:val="002D512C"/>
    <w:rsid w:val="00324AAC"/>
    <w:rsid w:val="00480D2C"/>
    <w:rsid w:val="004A0F25"/>
    <w:rsid w:val="004E27F8"/>
    <w:rsid w:val="004F191C"/>
    <w:rsid w:val="00511FE7"/>
    <w:rsid w:val="005146F8"/>
    <w:rsid w:val="00646DC1"/>
    <w:rsid w:val="00683C1F"/>
    <w:rsid w:val="00703451"/>
    <w:rsid w:val="0075341B"/>
    <w:rsid w:val="00825A10"/>
    <w:rsid w:val="0083743A"/>
    <w:rsid w:val="0089742A"/>
    <w:rsid w:val="008B3528"/>
    <w:rsid w:val="008F0DD2"/>
    <w:rsid w:val="00906F92"/>
    <w:rsid w:val="009158CD"/>
    <w:rsid w:val="00956454"/>
    <w:rsid w:val="00980C67"/>
    <w:rsid w:val="00992356"/>
    <w:rsid w:val="00B6360D"/>
    <w:rsid w:val="00BC0F15"/>
    <w:rsid w:val="00C1794C"/>
    <w:rsid w:val="00C205B3"/>
    <w:rsid w:val="00CB7DC1"/>
    <w:rsid w:val="00CE2A41"/>
    <w:rsid w:val="00CF0B0C"/>
    <w:rsid w:val="00D57B1F"/>
    <w:rsid w:val="00E03FE0"/>
    <w:rsid w:val="00E3744F"/>
    <w:rsid w:val="00E768A4"/>
    <w:rsid w:val="00EE4D01"/>
    <w:rsid w:val="00F30AA9"/>
    <w:rsid w:val="00F8037D"/>
    <w:rsid w:val="00F86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6082-0136-431E-9BE9-D1F3BE95C2C9}">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64342</Words>
  <Characters>36675</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2025-10-17T08:00:00Z</dcterms:created>
  <dcterms:modified xsi:type="dcterms:W3CDTF">2025-10-17T08:02:00Z</dcterms:modified>
</cp:coreProperties>
</file>