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8FB5D" w14:textId="77777777" w:rsidR="0013360E" w:rsidRPr="00437315" w:rsidRDefault="0013360E" w:rsidP="00613D75">
      <w:pPr>
        <w:spacing w:after="0" w:line="240" w:lineRule="auto"/>
        <w:jc w:val="center"/>
        <w:rPr>
          <w:rFonts w:cstheme="minorHAnsi"/>
          <w:b/>
        </w:rPr>
      </w:pPr>
      <w:r w:rsidRPr="00437315">
        <w:rPr>
          <w:rFonts w:cstheme="minorHAnsi"/>
          <w:b/>
        </w:rPr>
        <w:t>VALSTYBĖS ĮMONĖS „ORO NAVIGACIJA“</w:t>
      </w:r>
    </w:p>
    <w:p w14:paraId="746019D1" w14:textId="77777777" w:rsidR="00C6775F" w:rsidRPr="00C6775F" w:rsidRDefault="00C6775F" w:rsidP="0013360E">
      <w:pPr>
        <w:spacing w:after="0" w:line="240" w:lineRule="auto"/>
        <w:jc w:val="center"/>
        <w:rPr>
          <w:rFonts w:cstheme="minorHAnsi"/>
          <w:b/>
        </w:rPr>
      </w:pPr>
      <w:r w:rsidRPr="00C6775F">
        <w:rPr>
          <w:rFonts w:cstheme="minorHAnsi"/>
          <w:b/>
        </w:rPr>
        <w:t>PAREIGYBIŲ VERTINIMO, ATLYGIO DUOMENŲ BAZĖS IR ANALIZĖS PASLAUGŲ</w:t>
      </w:r>
    </w:p>
    <w:p w14:paraId="25CB4AA8" w14:textId="77777777" w:rsidR="00E13112" w:rsidRPr="00437315" w:rsidRDefault="00C6775F" w:rsidP="0013360E">
      <w:pPr>
        <w:spacing w:after="0" w:line="240" w:lineRule="auto"/>
        <w:jc w:val="center"/>
        <w:rPr>
          <w:rFonts w:cstheme="minorHAnsi"/>
          <w:b/>
        </w:rPr>
      </w:pPr>
      <w:r w:rsidRPr="00210C88">
        <w:rPr>
          <w:rFonts w:cstheme="minorHAnsi"/>
          <w:b/>
        </w:rPr>
        <w:t xml:space="preserve"> TECHNINĖ SPECIFIKACIJA</w:t>
      </w:r>
    </w:p>
    <w:p w14:paraId="02FBDFE2" w14:textId="77777777" w:rsidR="00613D75" w:rsidRPr="00437315" w:rsidRDefault="00613D75" w:rsidP="00613D75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3"/>
        <w:gridCol w:w="8755"/>
      </w:tblGrid>
      <w:tr w:rsidR="00613D75" w:rsidRPr="00437315" w14:paraId="0B0E7EA1" w14:textId="77777777" w:rsidTr="004525CD">
        <w:tc>
          <w:tcPr>
            <w:tcW w:w="873" w:type="dxa"/>
          </w:tcPr>
          <w:p w14:paraId="13C89435" w14:textId="77777777" w:rsidR="00613D75" w:rsidRPr="00437315" w:rsidRDefault="00613D75" w:rsidP="006320A0">
            <w:pPr>
              <w:rPr>
                <w:rFonts w:cstheme="minorHAnsi"/>
                <w:b/>
                <w:lang w:val="lt-LT"/>
              </w:rPr>
            </w:pPr>
            <w:r w:rsidRPr="00437315">
              <w:rPr>
                <w:rFonts w:cstheme="minorHAnsi"/>
                <w:b/>
                <w:lang w:val="lt-LT"/>
              </w:rPr>
              <w:t xml:space="preserve">1. </w:t>
            </w:r>
          </w:p>
        </w:tc>
        <w:tc>
          <w:tcPr>
            <w:tcW w:w="8755" w:type="dxa"/>
          </w:tcPr>
          <w:p w14:paraId="10EA6417" w14:textId="77777777" w:rsidR="00613D75" w:rsidRPr="00437315" w:rsidRDefault="00613D75" w:rsidP="00D03429">
            <w:pPr>
              <w:jc w:val="both"/>
              <w:rPr>
                <w:rFonts w:cstheme="minorHAnsi"/>
                <w:b/>
                <w:lang w:val="lt-LT"/>
              </w:rPr>
            </w:pPr>
            <w:r w:rsidRPr="00437315">
              <w:rPr>
                <w:rFonts w:cstheme="minorHAnsi"/>
                <w:b/>
                <w:lang w:val="lt-LT"/>
              </w:rPr>
              <w:t>SĄVOKOS IR SUTRUMPINIMAI</w:t>
            </w:r>
          </w:p>
        </w:tc>
      </w:tr>
      <w:tr w:rsidR="00613D75" w:rsidRPr="00437315" w14:paraId="164711BD" w14:textId="77777777" w:rsidTr="004525CD">
        <w:tc>
          <w:tcPr>
            <w:tcW w:w="873" w:type="dxa"/>
          </w:tcPr>
          <w:p w14:paraId="461CA9C6" w14:textId="77777777" w:rsidR="00613D75" w:rsidRPr="00437315" w:rsidRDefault="00613D75" w:rsidP="006320A0">
            <w:pPr>
              <w:rPr>
                <w:rFonts w:cstheme="minorHAnsi"/>
                <w:lang w:val="lt-LT"/>
              </w:rPr>
            </w:pPr>
            <w:r w:rsidRPr="00437315">
              <w:rPr>
                <w:rFonts w:cstheme="minorHAnsi"/>
                <w:lang w:val="lt-LT"/>
              </w:rPr>
              <w:t>1.1.</w:t>
            </w:r>
          </w:p>
        </w:tc>
        <w:tc>
          <w:tcPr>
            <w:tcW w:w="8755" w:type="dxa"/>
          </w:tcPr>
          <w:p w14:paraId="54A9EF1D" w14:textId="77777777" w:rsidR="00613D75" w:rsidRPr="00437315" w:rsidRDefault="00613D75" w:rsidP="00D03429">
            <w:pPr>
              <w:jc w:val="both"/>
              <w:rPr>
                <w:rFonts w:cstheme="minorHAnsi"/>
                <w:lang w:val="lt-LT"/>
              </w:rPr>
            </w:pPr>
            <w:r w:rsidRPr="00437315">
              <w:rPr>
                <w:rFonts w:cstheme="minorHAnsi"/>
                <w:lang w:val="lt-LT"/>
              </w:rPr>
              <w:t>Perkančioji organizacija – valstybės įmonė „Oro navigacija“, Rodūnios kelias 2, Vilnius.</w:t>
            </w:r>
          </w:p>
        </w:tc>
      </w:tr>
      <w:tr w:rsidR="00613D75" w:rsidRPr="00437315" w14:paraId="501307EE" w14:textId="77777777" w:rsidTr="004525CD">
        <w:tc>
          <w:tcPr>
            <w:tcW w:w="873" w:type="dxa"/>
          </w:tcPr>
          <w:p w14:paraId="3F805035" w14:textId="77777777" w:rsidR="00613D75" w:rsidRPr="00437315" w:rsidRDefault="00613D75" w:rsidP="006320A0">
            <w:pPr>
              <w:rPr>
                <w:rFonts w:cstheme="minorHAnsi"/>
                <w:lang w:val="lt-LT"/>
              </w:rPr>
            </w:pPr>
            <w:r w:rsidRPr="00437315">
              <w:rPr>
                <w:rFonts w:cstheme="minorHAnsi"/>
                <w:lang w:val="lt-LT"/>
              </w:rPr>
              <w:t>1.2.</w:t>
            </w:r>
          </w:p>
        </w:tc>
        <w:tc>
          <w:tcPr>
            <w:tcW w:w="8755" w:type="dxa"/>
          </w:tcPr>
          <w:p w14:paraId="3891E536" w14:textId="77777777" w:rsidR="00613D75" w:rsidRPr="00437315" w:rsidRDefault="006F0624" w:rsidP="00D03429">
            <w:pPr>
              <w:jc w:val="both"/>
              <w:rPr>
                <w:rFonts w:cstheme="minorHAnsi"/>
                <w:lang w:val="lt-LT"/>
              </w:rPr>
            </w:pPr>
            <w:r w:rsidRPr="00437315">
              <w:rPr>
                <w:rFonts w:cstheme="minorHAnsi"/>
                <w:lang w:val="lt-LT"/>
              </w:rPr>
              <w:t>Paslaugos tei</w:t>
            </w:r>
            <w:r w:rsidR="00613D75" w:rsidRPr="00437315">
              <w:rPr>
                <w:rFonts w:cstheme="minorHAnsi"/>
                <w:lang w:val="lt-LT"/>
              </w:rPr>
              <w:t xml:space="preserve">kėjas  – </w:t>
            </w:r>
            <w:r w:rsidR="00613D75" w:rsidRPr="00574F0F">
              <w:rPr>
                <w:rFonts w:cstheme="minorHAnsi"/>
                <w:lang w:val="lt-LT"/>
              </w:rPr>
              <w:t>ūkio subjektas – fizinis asmuo, privatusis juridinis asmuo, viešasis juridinis asmuo, kitos organizacijos ir jų padaliniai ar tokių asmenų grupė, su kuriuo Perkančioji organizacija sudaro sutartį.</w:t>
            </w:r>
          </w:p>
        </w:tc>
      </w:tr>
      <w:tr w:rsidR="00613D75" w:rsidRPr="00437315" w14:paraId="2C60681C" w14:textId="77777777" w:rsidTr="004525CD">
        <w:tc>
          <w:tcPr>
            <w:tcW w:w="873" w:type="dxa"/>
          </w:tcPr>
          <w:p w14:paraId="052421F6" w14:textId="77777777" w:rsidR="00613D75" w:rsidRPr="00437315" w:rsidRDefault="00613D75" w:rsidP="006320A0">
            <w:pPr>
              <w:rPr>
                <w:rFonts w:cstheme="minorHAnsi"/>
                <w:lang w:val="lt-LT"/>
              </w:rPr>
            </w:pPr>
            <w:r w:rsidRPr="00437315">
              <w:rPr>
                <w:rFonts w:cstheme="minorHAnsi"/>
                <w:lang w:val="lt-LT"/>
              </w:rPr>
              <w:t>1.3.</w:t>
            </w:r>
          </w:p>
        </w:tc>
        <w:tc>
          <w:tcPr>
            <w:tcW w:w="8755" w:type="dxa"/>
          </w:tcPr>
          <w:p w14:paraId="56378E71" w14:textId="77777777" w:rsidR="00613D75" w:rsidRPr="00437315" w:rsidRDefault="00613D75" w:rsidP="001217AF">
            <w:pPr>
              <w:jc w:val="both"/>
              <w:rPr>
                <w:rFonts w:cstheme="minorHAnsi"/>
                <w:lang w:val="lt-LT"/>
              </w:rPr>
            </w:pPr>
            <w:r w:rsidRPr="00437315">
              <w:rPr>
                <w:rFonts w:cstheme="minorHAnsi"/>
                <w:lang w:val="lt-LT"/>
              </w:rPr>
              <w:t>Sutartis – Suta</w:t>
            </w:r>
            <w:r w:rsidR="006F0624" w:rsidRPr="00437315">
              <w:rPr>
                <w:rFonts w:cstheme="minorHAnsi"/>
                <w:lang w:val="lt-LT"/>
              </w:rPr>
              <w:t>rtis sudaroma tarp Paslaugos tei</w:t>
            </w:r>
            <w:r w:rsidRPr="00437315">
              <w:rPr>
                <w:rFonts w:cstheme="minorHAnsi"/>
                <w:lang w:val="lt-LT"/>
              </w:rPr>
              <w:t xml:space="preserve">kėjo ir Perkančiosios </w:t>
            </w:r>
            <w:r w:rsidRPr="00574F0F">
              <w:rPr>
                <w:rFonts w:cstheme="minorHAnsi"/>
                <w:lang w:val="lt-LT"/>
              </w:rPr>
              <w:t>organizacijos</w:t>
            </w:r>
            <w:r w:rsidR="00965BD4">
              <w:rPr>
                <w:rFonts w:cstheme="minorHAnsi"/>
                <w:lang w:val="lt-LT"/>
              </w:rPr>
              <w:t xml:space="preserve"> dėl </w:t>
            </w:r>
            <w:r w:rsidR="00210C88">
              <w:rPr>
                <w:rFonts w:cstheme="minorHAnsi"/>
                <w:lang w:val="lt-LT"/>
              </w:rPr>
              <w:t xml:space="preserve">1.4. papunktyje nurodytų </w:t>
            </w:r>
            <w:r w:rsidR="00965BD4">
              <w:rPr>
                <w:rFonts w:cstheme="minorHAnsi"/>
                <w:lang w:val="lt-LT"/>
              </w:rPr>
              <w:t>paslaugų.</w:t>
            </w:r>
            <w:r w:rsidRPr="00574F0F">
              <w:rPr>
                <w:rFonts w:cstheme="minorHAnsi"/>
                <w:lang w:val="lt-LT"/>
              </w:rPr>
              <w:t xml:space="preserve"> </w:t>
            </w:r>
          </w:p>
        </w:tc>
      </w:tr>
      <w:tr w:rsidR="00613D75" w:rsidRPr="00437315" w14:paraId="79C7BEFE" w14:textId="77777777" w:rsidTr="004525CD">
        <w:tc>
          <w:tcPr>
            <w:tcW w:w="873" w:type="dxa"/>
          </w:tcPr>
          <w:p w14:paraId="0986B299" w14:textId="77777777" w:rsidR="00613D75" w:rsidRPr="00437315" w:rsidRDefault="00613D75" w:rsidP="006320A0">
            <w:pPr>
              <w:rPr>
                <w:rFonts w:cstheme="minorHAnsi"/>
                <w:lang w:val="lt-LT"/>
              </w:rPr>
            </w:pPr>
            <w:r w:rsidRPr="00437315">
              <w:rPr>
                <w:rFonts w:cstheme="minorHAnsi"/>
                <w:lang w:val="lt-LT"/>
              </w:rPr>
              <w:t>1.4.</w:t>
            </w:r>
          </w:p>
        </w:tc>
        <w:tc>
          <w:tcPr>
            <w:tcW w:w="8755" w:type="dxa"/>
          </w:tcPr>
          <w:p w14:paraId="0F7E4272" w14:textId="65B3E1EB" w:rsidR="00613D75" w:rsidRPr="00437315" w:rsidRDefault="00613D75" w:rsidP="00CA0D1F">
            <w:pPr>
              <w:jc w:val="both"/>
              <w:rPr>
                <w:rFonts w:cstheme="minorHAnsi"/>
                <w:lang w:val="lt-LT"/>
              </w:rPr>
            </w:pPr>
            <w:r w:rsidRPr="00437315">
              <w:rPr>
                <w:rFonts w:cstheme="minorHAnsi"/>
                <w:lang w:val="lt-LT"/>
              </w:rPr>
              <w:t xml:space="preserve">Paslaugos – </w:t>
            </w:r>
            <w:r w:rsidR="00C6775F">
              <w:rPr>
                <w:rFonts w:eastAsia="Calibri" w:cstheme="minorHAnsi"/>
              </w:rPr>
              <w:t>p</w:t>
            </w:r>
            <w:proofErr w:type="spellStart"/>
            <w:r w:rsidR="00C6775F" w:rsidRPr="00AD16BA">
              <w:rPr>
                <w:rFonts w:eastAsia="Calibri" w:cstheme="minorHAnsi"/>
                <w:lang w:val="lt-LT"/>
              </w:rPr>
              <w:t>areigybių</w:t>
            </w:r>
            <w:proofErr w:type="spellEnd"/>
            <w:r w:rsidR="00C6775F" w:rsidRPr="00AD16BA">
              <w:rPr>
                <w:rFonts w:eastAsia="Calibri" w:cstheme="minorHAnsi"/>
                <w:lang w:val="lt-LT"/>
              </w:rPr>
              <w:t xml:space="preserve"> </w:t>
            </w:r>
            <w:r w:rsidR="00C6775F" w:rsidRPr="00C6775F">
              <w:rPr>
                <w:rFonts w:eastAsia="Calibri" w:cstheme="minorHAnsi"/>
                <w:lang w:val="lt-LT"/>
              </w:rPr>
              <w:t xml:space="preserve">vertinimo, </w:t>
            </w:r>
            <w:r w:rsidR="00B065FB">
              <w:rPr>
                <w:rFonts w:eastAsia="Calibri" w:cstheme="minorHAnsi"/>
                <w:lang w:val="lt-LT"/>
              </w:rPr>
              <w:t xml:space="preserve">2019 m. Lietuvos </w:t>
            </w:r>
            <w:r w:rsidR="00C6775F" w:rsidRPr="00C6775F">
              <w:rPr>
                <w:rFonts w:eastAsia="Calibri" w:cstheme="minorHAnsi"/>
                <w:lang w:val="lt-LT"/>
              </w:rPr>
              <w:t>atlygio duomenų bazės ir analizės</w:t>
            </w:r>
            <w:r w:rsidR="00C6775F" w:rsidRPr="00AD16BA">
              <w:rPr>
                <w:rFonts w:eastAsia="Calibri" w:cstheme="minorHAnsi"/>
                <w:lang w:val="lt-LT"/>
              </w:rPr>
              <w:t xml:space="preserve"> paslaugos</w:t>
            </w:r>
          </w:p>
        </w:tc>
      </w:tr>
      <w:tr w:rsidR="006D21B5" w:rsidRPr="00437315" w14:paraId="6DC79F53" w14:textId="77777777" w:rsidTr="004525CD">
        <w:tc>
          <w:tcPr>
            <w:tcW w:w="873" w:type="dxa"/>
          </w:tcPr>
          <w:p w14:paraId="7EF6FD39" w14:textId="77777777" w:rsidR="006D21B5" w:rsidRPr="00437315" w:rsidRDefault="006D21B5" w:rsidP="006320A0">
            <w:pPr>
              <w:rPr>
                <w:rFonts w:cstheme="minorHAnsi"/>
                <w:b/>
                <w:lang w:val="lt-LT"/>
              </w:rPr>
            </w:pPr>
            <w:r w:rsidRPr="00437315">
              <w:rPr>
                <w:rFonts w:cstheme="minorHAnsi"/>
                <w:b/>
                <w:lang w:val="lt-LT"/>
              </w:rPr>
              <w:t>2.</w:t>
            </w:r>
          </w:p>
        </w:tc>
        <w:tc>
          <w:tcPr>
            <w:tcW w:w="8755" w:type="dxa"/>
          </w:tcPr>
          <w:p w14:paraId="645D63B9" w14:textId="77777777" w:rsidR="006D21B5" w:rsidRPr="00437315" w:rsidRDefault="006D21B5" w:rsidP="00D03429">
            <w:pPr>
              <w:jc w:val="both"/>
              <w:rPr>
                <w:rFonts w:cstheme="minorHAnsi"/>
                <w:b/>
                <w:lang w:val="lt-LT"/>
              </w:rPr>
            </w:pPr>
            <w:r w:rsidRPr="00437315">
              <w:rPr>
                <w:rFonts w:cstheme="minorHAnsi"/>
                <w:b/>
                <w:lang w:val="lt-LT"/>
              </w:rPr>
              <w:t>PIRKIMO OBJEKTAS</w:t>
            </w:r>
          </w:p>
        </w:tc>
      </w:tr>
      <w:tr w:rsidR="006D21B5" w:rsidRPr="00437315" w14:paraId="5F7F0729" w14:textId="77777777" w:rsidTr="004525CD">
        <w:tc>
          <w:tcPr>
            <w:tcW w:w="873" w:type="dxa"/>
          </w:tcPr>
          <w:p w14:paraId="1E381B4E" w14:textId="77777777" w:rsidR="006D21B5" w:rsidRPr="00437315" w:rsidRDefault="006D21B5" w:rsidP="006D21B5">
            <w:pPr>
              <w:rPr>
                <w:rFonts w:cstheme="minorHAnsi"/>
                <w:lang w:val="lt-LT"/>
              </w:rPr>
            </w:pPr>
            <w:r w:rsidRPr="00437315">
              <w:rPr>
                <w:rFonts w:cstheme="minorHAnsi"/>
                <w:lang w:val="lt-LT"/>
              </w:rPr>
              <w:t>2.1.</w:t>
            </w:r>
          </w:p>
        </w:tc>
        <w:tc>
          <w:tcPr>
            <w:tcW w:w="8755" w:type="dxa"/>
          </w:tcPr>
          <w:p w14:paraId="697C4564" w14:textId="28F18AE7" w:rsidR="006D21B5" w:rsidRPr="00EC3B03" w:rsidRDefault="006D21B5" w:rsidP="0041765B">
            <w:pPr>
              <w:jc w:val="both"/>
              <w:rPr>
                <w:highlight w:val="yellow"/>
                <w:lang w:val="lt-LT"/>
              </w:rPr>
            </w:pPr>
            <w:r w:rsidRPr="00437315">
              <w:rPr>
                <w:rFonts w:cstheme="minorHAnsi"/>
                <w:lang w:val="lt-LT"/>
              </w:rPr>
              <w:t xml:space="preserve">Pirkimo </w:t>
            </w:r>
            <w:r w:rsidRPr="00CA0D1F">
              <w:rPr>
                <w:rFonts w:cstheme="minorHAnsi"/>
                <w:lang w:val="lt-LT"/>
              </w:rPr>
              <w:t xml:space="preserve">objektas – </w:t>
            </w:r>
            <w:r w:rsidR="00CA0D1F" w:rsidRPr="00CA0D1F">
              <w:rPr>
                <w:rFonts w:cstheme="minorHAnsi"/>
                <w:lang w:val="lt-LT"/>
              </w:rPr>
              <w:t xml:space="preserve">(1) </w:t>
            </w:r>
            <w:r w:rsidR="00CA0D1F">
              <w:rPr>
                <w:rFonts w:cstheme="minorHAnsi"/>
                <w:lang w:val="lt-LT"/>
              </w:rPr>
              <w:t xml:space="preserve">pareigybių vertinimas, klasifikavimas ir žemėlapio sudarymas; (2) </w:t>
            </w:r>
            <w:r w:rsidR="00FD3032">
              <w:rPr>
                <w:rFonts w:cstheme="minorHAnsi"/>
                <w:lang w:val="lt-LT"/>
              </w:rPr>
              <w:t>internetinė</w:t>
            </w:r>
            <w:r w:rsidR="00CA0D1F">
              <w:rPr>
                <w:rFonts w:cstheme="minorHAnsi"/>
                <w:lang w:val="lt-LT"/>
              </w:rPr>
              <w:t xml:space="preserve"> atlygio duomenų </w:t>
            </w:r>
            <w:r w:rsidR="00CA0D1F" w:rsidRPr="00A41C3F">
              <w:rPr>
                <w:rFonts w:cstheme="minorHAnsi"/>
                <w:lang w:val="lt-LT"/>
              </w:rPr>
              <w:t>b</w:t>
            </w:r>
            <w:r w:rsidR="00FD3032" w:rsidRPr="00A41C3F">
              <w:rPr>
                <w:rFonts w:cstheme="minorHAnsi"/>
                <w:lang w:val="lt-LT"/>
              </w:rPr>
              <w:t>azė</w:t>
            </w:r>
            <w:r w:rsidR="00CA0D1F" w:rsidRPr="00A41C3F">
              <w:rPr>
                <w:rFonts w:cstheme="minorHAnsi"/>
                <w:lang w:val="lt-LT"/>
              </w:rPr>
              <w:t xml:space="preserve"> ir analizė</w:t>
            </w:r>
            <w:r w:rsidR="0041765B">
              <w:rPr>
                <w:rFonts w:cstheme="minorHAnsi"/>
                <w:lang w:val="lt-LT"/>
              </w:rPr>
              <w:t>.</w:t>
            </w:r>
            <w:r w:rsidR="00CA0D1F" w:rsidRPr="00A41C3F">
              <w:rPr>
                <w:rFonts w:cstheme="minorHAnsi"/>
                <w:lang w:val="lt-LT"/>
              </w:rPr>
              <w:t xml:space="preserve"> </w:t>
            </w:r>
          </w:p>
        </w:tc>
      </w:tr>
      <w:tr w:rsidR="006D21B5" w:rsidRPr="00437315" w14:paraId="64FC1E05" w14:textId="77777777" w:rsidTr="004525CD">
        <w:tc>
          <w:tcPr>
            <w:tcW w:w="873" w:type="dxa"/>
          </w:tcPr>
          <w:p w14:paraId="27429713" w14:textId="77777777" w:rsidR="006D21B5" w:rsidRPr="00437315" w:rsidRDefault="006D21B5" w:rsidP="006D21B5">
            <w:pPr>
              <w:rPr>
                <w:rFonts w:cstheme="minorHAnsi"/>
                <w:lang w:val="lt-LT"/>
              </w:rPr>
            </w:pPr>
            <w:r w:rsidRPr="00437315">
              <w:rPr>
                <w:rFonts w:cstheme="minorHAnsi"/>
                <w:lang w:val="lt-LT"/>
              </w:rPr>
              <w:t>2.2.</w:t>
            </w:r>
          </w:p>
        </w:tc>
        <w:tc>
          <w:tcPr>
            <w:tcW w:w="8755" w:type="dxa"/>
          </w:tcPr>
          <w:p w14:paraId="40AA6BF3" w14:textId="77777777" w:rsidR="006D21B5" w:rsidRPr="00437315" w:rsidRDefault="006D21B5">
            <w:pPr>
              <w:jc w:val="both"/>
              <w:rPr>
                <w:rFonts w:cstheme="minorHAnsi"/>
                <w:lang w:val="lt-LT"/>
              </w:rPr>
            </w:pPr>
            <w:r w:rsidRPr="00437315">
              <w:rPr>
                <w:rFonts w:cstheme="minorHAnsi"/>
                <w:lang w:val="lt-LT"/>
              </w:rPr>
              <w:t>Paslaugų apimtis</w:t>
            </w:r>
            <w:r w:rsidR="00437315" w:rsidRPr="00437315">
              <w:rPr>
                <w:rFonts w:cstheme="minorHAnsi"/>
                <w:lang w:val="lt-LT"/>
              </w:rPr>
              <w:t xml:space="preserve"> – </w:t>
            </w:r>
            <w:r w:rsidR="00437315" w:rsidRPr="00DE07F9">
              <w:rPr>
                <w:rFonts w:cstheme="minorHAnsi"/>
                <w:lang w:val="lt-LT"/>
              </w:rPr>
              <w:t>numatyta 3 punkte.</w:t>
            </w:r>
          </w:p>
        </w:tc>
      </w:tr>
      <w:tr w:rsidR="00EC6BE7" w:rsidRPr="00437315" w14:paraId="43FE0D66" w14:textId="77777777" w:rsidTr="004525CD">
        <w:tc>
          <w:tcPr>
            <w:tcW w:w="873" w:type="dxa"/>
          </w:tcPr>
          <w:p w14:paraId="3718905E" w14:textId="77777777" w:rsidR="00EC6BE7" w:rsidRPr="00437315" w:rsidRDefault="00EC6BE7" w:rsidP="006D21B5">
            <w:pPr>
              <w:rPr>
                <w:rFonts w:cstheme="minorHAnsi"/>
                <w:lang w:val="lt-LT"/>
              </w:rPr>
            </w:pPr>
            <w:r w:rsidRPr="00437315">
              <w:rPr>
                <w:rFonts w:cstheme="minorHAnsi"/>
                <w:lang w:val="lt-LT"/>
              </w:rPr>
              <w:t>2.3.</w:t>
            </w:r>
          </w:p>
        </w:tc>
        <w:tc>
          <w:tcPr>
            <w:tcW w:w="8755" w:type="dxa"/>
          </w:tcPr>
          <w:p w14:paraId="446724DD" w14:textId="77777777" w:rsidR="00EC6BE7" w:rsidRPr="0050182C" w:rsidRDefault="00EC6BE7" w:rsidP="00810937">
            <w:pPr>
              <w:jc w:val="both"/>
              <w:rPr>
                <w:rFonts w:cstheme="minorHAnsi"/>
                <w:lang w:val="lt-LT"/>
              </w:rPr>
            </w:pPr>
            <w:r w:rsidRPr="00437315">
              <w:rPr>
                <w:rFonts w:cstheme="minorHAnsi"/>
                <w:lang w:val="lt-LT"/>
              </w:rPr>
              <w:t>Paslaugų suteikimo vieta: val</w:t>
            </w:r>
            <w:r w:rsidRPr="00DE07F9">
              <w:rPr>
                <w:rFonts w:cstheme="minorHAnsi"/>
                <w:lang w:val="lt-LT"/>
              </w:rPr>
              <w:t>stybės įmonė „Oro navigacija“ Rodūnios kelias 2, Vilnius (</w:t>
            </w:r>
            <w:r w:rsidR="00810937">
              <w:rPr>
                <w:rFonts w:cstheme="minorHAnsi"/>
                <w:lang w:val="lt-LT"/>
              </w:rPr>
              <w:t xml:space="preserve">arba </w:t>
            </w:r>
            <w:r w:rsidRPr="00DE07F9">
              <w:rPr>
                <w:rFonts w:cstheme="minorHAnsi"/>
                <w:lang w:val="lt-LT"/>
              </w:rPr>
              <w:t xml:space="preserve">Balio Karvelio g. 25, Vilnius). </w:t>
            </w:r>
            <w:r w:rsidR="009571CF" w:rsidRPr="0050182C">
              <w:rPr>
                <w:rStyle w:val="lrzxr"/>
                <w:rFonts w:cstheme="minorHAnsi"/>
                <w:lang w:val="lt-LT"/>
              </w:rPr>
              <w:t>Paslaugų teikėjo patalpose</w:t>
            </w:r>
            <w:r w:rsidR="0050182C">
              <w:rPr>
                <w:rStyle w:val="lrzxr"/>
                <w:rFonts w:cstheme="minorHAnsi"/>
                <w:lang w:val="lt-LT"/>
              </w:rPr>
              <w:t xml:space="preserve"> gali būti suteikiamos mokymų, kaip dirbti su duomenų baze, paslaugos.</w:t>
            </w:r>
          </w:p>
        </w:tc>
      </w:tr>
      <w:tr w:rsidR="006D21B5" w:rsidRPr="00437315" w14:paraId="5A0DCBAC" w14:textId="77777777" w:rsidTr="004525CD">
        <w:tc>
          <w:tcPr>
            <w:tcW w:w="873" w:type="dxa"/>
          </w:tcPr>
          <w:p w14:paraId="0454D71A" w14:textId="77777777" w:rsidR="006D21B5" w:rsidRPr="00437315" w:rsidRDefault="00EC6BE7" w:rsidP="006D21B5">
            <w:pPr>
              <w:rPr>
                <w:rFonts w:cstheme="minorHAnsi"/>
                <w:b/>
                <w:lang w:val="lt-LT"/>
              </w:rPr>
            </w:pPr>
            <w:r w:rsidRPr="00437315">
              <w:rPr>
                <w:rFonts w:cstheme="minorHAnsi"/>
                <w:b/>
                <w:lang w:val="lt-LT"/>
              </w:rPr>
              <w:t>3</w:t>
            </w:r>
            <w:r w:rsidR="006D21B5" w:rsidRPr="00437315">
              <w:rPr>
                <w:rFonts w:cstheme="minorHAnsi"/>
                <w:b/>
                <w:lang w:val="lt-LT"/>
              </w:rPr>
              <w:t>.</w:t>
            </w:r>
          </w:p>
        </w:tc>
        <w:tc>
          <w:tcPr>
            <w:tcW w:w="8755" w:type="dxa"/>
          </w:tcPr>
          <w:p w14:paraId="45CCBA24" w14:textId="77777777" w:rsidR="006D21B5" w:rsidRPr="00437315" w:rsidRDefault="006D21B5" w:rsidP="00437315">
            <w:pPr>
              <w:jc w:val="both"/>
              <w:rPr>
                <w:rFonts w:cstheme="minorHAnsi"/>
                <w:b/>
                <w:lang w:val="lt-LT"/>
              </w:rPr>
            </w:pPr>
            <w:r w:rsidRPr="00437315">
              <w:rPr>
                <w:rFonts w:cstheme="minorHAnsi"/>
                <w:b/>
                <w:lang w:val="lt-LT"/>
              </w:rPr>
              <w:t xml:space="preserve">PASLAUGŲ </w:t>
            </w:r>
            <w:r w:rsidR="00437315" w:rsidRPr="00437315">
              <w:rPr>
                <w:rFonts w:cstheme="minorHAnsi"/>
                <w:b/>
                <w:lang w:val="lt-LT"/>
              </w:rPr>
              <w:t>APIMTIS</w:t>
            </w:r>
          </w:p>
        </w:tc>
      </w:tr>
      <w:tr w:rsidR="00277D0C" w:rsidRPr="00437315" w14:paraId="327CF9FF" w14:textId="77777777" w:rsidTr="003D1AC2">
        <w:trPr>
          <w:trHeight w:val="197"/>
        </w:trPr>
        <w:tc>
          <w:tcPr>
            <w:tcW w:w="873" w:type="dxa"/>
          </w:tcPr>
          <w:p w14:paraId="5E4B6218" w14:textId="77777777" w:rsidR="00277D0C" w:rsidRPr="003D1AC2" w:rsidRDefault="00277D0C" w:rsidP="006D21B5">
            <w:pPr>
              <w:rPr>
                <w:rFonts w:cstheme="minorHAnsi"/>
                <w:lang w:val="lt-LT"/>
              </w:rPr>
            </w:pPr>
            <w:r w:rsidRPr="003D1AC2">
              <w:rPr>
                <w:rFonts w:cstheme="minorHAnsi"/>
                <w:lang w:val="lt-LT"/>
              </w:rPr>
              <w:t>3.1.</w:t>
            </w:r>
          </w:p>
        </w:tc>
        <w:tc>
          <w:tcPr>
            <w:tcW w:w="8755" w:type="dxa"/>
          </w:tcPr>
          <w:p w14:paraId="0CFF200B" w14:textId="77777777" w:rsidR="00E443A0" w:rsidRDefault="008C7491" w:rsidP="00504C81">
            <w:pPr>
              <w:jc w:val="both"/>
              <w:rPr>
                <w:rFonts w:cstheme="minorHAnsi"/>
                <w:lang w:val="lt-LT"/>
              </w:rPr>
            </w:pPr>
            <w:r w:rsidRPr="008C7491">
              <w:rPr>
                <w:rFonts w:cstheme="minorHAnsi"/>
                <w:lang w:val="lt-LT"/>
              </w:rPr>
              <w:t>P</w:t>
            </w:r>
            <w:r w:rsidR="003D1AC2" w:rsidRPr="008C7491">
              <w:rPr>
                <w:rFonts w:cstheme="minorHAnsi"/>
                <w:lang w:val="lt-LT"/>
              </w:rPr>
              <w:t>areigybių vertinimas</w:t>
            </w:r>
            <w:r w:rsidR="00A553C9" w:rsidRPr="008C7491">
              <w:rPr>
                <w:rFonts w:cstheme="minorHAnsi"/>
                <w:lang w:val="lt-LT"/>
              </w:rPr>
              <w:t>, priskyri</w:t>
            </w:r>
            <w:r w:rsidR="003D1AC2" w:rsidRPr="008C7491">
              <w:rPr>
                <w:rFonts w:cstheme="minorHAnsi"/>
                <w:lang w:val="lt-LT"/>
              </w:rPr>
              <w:t xml:space="preserve">mas lygiams </w:t>
            </w:r>
            <w:r w:rsidR="00A553C9" w:rsidRPr="008C7491">
              <w:rPr>
                <w:rFonts w:cstheme="minorHAnsi"/>
                <w:lang w:val="lt-LT"/>
              </w:rPr>
              <w:t>Perkančiosios organizacijos patalpose</w:t>
            </w:r>
            <w:r w:rsidR="003D1AC2" w:rsidRPr="008C7491">
              <w:rPr>
                <w:rFonts w:cstheme="minorHAnsi"/>
                <w:lang w:val="lt-LT"/>
              </w:rPr>
              <w:t xml:space="preserve">, </w:t>
            </w:r>
            <w:r w:rsidR="00A553C9" w:rsidRPr="008C7491">
              <w:rPr>
                <w:rFonts w:cstheme="minorHAnsi"/>
                <w:lang w:val="lt-LT"/>
              </w:rPr>
              <w:t xml:space="preserve">pareigybių žemėlapio sudarymas ir pateikimas – </w:t>
            </w:r>
            <w:r w:rsidR="00B04A60">
              <w:rPr>
                <w:rFonts w:eastAsia="Calibri" w:cstheme="minorHAnsi"/>
              </w:rPr>
              <w:t xml:space="preserve"> ne </w:t>
            </w:r>
            <w:proofErr w:type="spellStart"/>
            <w:r w:rsidR="00B04A60">
              <w:rPr>
                <w:rFonts w:eastAsia="Calibri" w:cstheme="minorHAnsi"/>
              </w:rPr>
              <w:t>daugiau</w:t>
            </w:r>
            <w:proofErr w:type="spellEnd"/>
            <w:r w:rsidR="00B04A60">
              <w:rPr>
                <w:rFonts w:eastAsia="Calibri" w:cstheme="minorHAnsi"/>
              </w:rPr>
              <w:t xml:space="preserve"> </w:t>
            </w:r>
            <w:proofErr w:type="spellStart"/>
            <w:r w:rsidR="00B04A60">
              <w:rPr>
                <w:rFonts w:eastAsia="Calibri" w:cstheme="minorHAnsi"/>
              </w:rPr>
              <w:t>kaip</w:t>
            </w:r>
            <w:proofErr w:type="spellEnd"/>
            <w:r w:rsidR="00B04A60">
              <w:rPr>
                <w:rFonts w:eastAsia="Calibri" w:cstheme="minorHAnsi"/>
              </w:rPr>
              <w:t xml:space="preserve"> 190 </w:t>
            </w:r>
            <w:proofErr w:type="spellStart"/>
            <w:r w:rsidR="00B04A60">
              <w:rPr>
                <w:rFonts w:eastAsia="Calibri" w:cstheme="minorHAnsi"/>
              </w:rPr>
              <w:t>vnt</w:t>
            </w:r>
            <w:proofErr w:type="spellEnd"/>
            <w:r w:rsidR="00B04A60">
              <w:rPr>
                <w:rFonts w:eastAsia="Calibri" w:cstheme="minorHAnsi"/>
              </w:rPr>
              <w:t>.</w:t>
            </w:r>
          </w:p>
        </w:tc>
      </w:tr>
      <w:tr w:rsidR="00A553C9" w:rsidRPr="00437315" w14:paraId="12C18D12" w14:textId="77777777" w:rsidTr="003D1AC2">
        <w:trPr>
          <w:trHeight w:val="197"/>
        </w:trPr>
        <w:tc>
          <w:tcPr>
            <w:tcW w:w="873" w:type="dxa"/>
          </w:tcPr>
          <w:p w14:paraId="7F8F87B8" w14:textId="77777777" w:rsidR="00A553C9" w:rsidRPr="003D1AC2" w:rsidRDefault="00A553C9" w:rsidP="006D21B5">
            <w:pPr>
              <w:rPr>
                <w:rFonts w:cstheme="minorHAnsi"/>
              </w:rPr>
            </w:pPr>
            <w:r>
              <w:rPr>
                <w:rFonts w:cstheme="minorHAnsi"/>
              </w:rPr>
              <w:t>3.2.</w:t>
            </w:r>
          </w:p>
        </w:tc>
        <w:tc>
          <w:tcPr>
            <w:tcW w:w="8755" w:type="dxa"/>
          </w:tcPr>
          <w:p w14:paraId="4056A71D" w14:textId="29D46B49" w:rsidR="002007DB" w:rsidRDefault="00A553C9" w:rsidP="002007DB">
            <w:pPr>
              <w:jc w:val="both"/>
              <w:rPr>
                <w:rFonts w:cstheme="minorHAnsi"/>
                <w:lang w:val="lt-LT"/>
              </w:rPr>
            </w:pPr>
            <w:r w:rsidRPr="00A553C9">
              <w:rPr>
                <w:rFonts w:cstheme="minorHAnsi"/>
                <w:lang w:val="lt-LT"/>
              </w:rPr>
              <w:t>Pri</w:t>
            </w:r>
            <w:r>
              <w:rPr>
                <w:rFonts w:cstheme="minorHAnsi"/>
                <w:lang w:val="lt-LT"/>
              </w:rPr>
              <w:t>eigos</w:t>
            </w:r>
            <w:r w:rsidRPr="00A553C9">
              <w:rPr>
                <w:rFonts w:cstheme="minorHAnsi"/>
                <w:lang w:val="lt-LT"/>
              </w:rPr>
              <w:t xml:space="preserve"> </w:t>
            </w:r>
            <w:r w:rsidR="000E1FAD">
              <w:rPr>
                <w:rFonts w:cstheme="minorHAnsi"/>
                <w:lang w:val="lt-LT"/>
              </w:rPr>
              <w:t xml:space="preserve">suteikimas </w:t>
            </w:r>
            <w:r w:rsidRPr="00012404">
              <w:rPr>
                <w:rFonts w:cstheme="minorHAnsi"/>
                <w:lang w:val="lt-LT"/>
              </w:rPr>
              <w:t xml:space="preserve">prie </w:t>
            </w:r>
            <w:r w:rsidR="00B065FB">
              <w:rPr>
                <w:rFonts w:cstheme="minorHAnsi"/>
                <w:lang w:val="lt-LT"/>
              </w:rPr>
              <w:t xml:space="preserve">2019 m. Lietuvos </w:t>
            </w:r>
            <w:r w:rsidRPr="00012404">
              <w:rPr>
                <w:rFonts w:cstheme="minorHAnsi"/>
                <w:lang w:val="lt-LT"/>
              </w:rPr>
              <w:t>atlygio</w:t>
            </w:r>
            <w:r w:rsidRPr="00A553C9">
              <w:rPr>
                <w:rFonts w:cstheme="minorHAnsi"/>
                <w:lang w:val="lt-LT"/>
              </w:rPr>
              <w:t xml:space="preserve"> duomenų bazės</w:t>
            </w:r>
            <w:r>
              <w:rPr>
                <w:rFonts w:cstheme="minorHAnsi"/>
                <w:lang w:val="lt-LT"/>
              </w:rPr>
              <w:t xml:space="preserve"> 2 darbo vietoms</w:t>
            </w:r>
            <w:r w:rsidR="00594B6B">
              <w:rPr>
                <w:rFonts w:cstheme="minorHAnsi"/>
                <w:lang w:val="lt-LT"/>
              </w:rPr>
              <w:t xml:space="preserve"> iki 2020 m. rugpjūčio 14 d.</w:t>
            </w:r>
            <w:r w:rsidR="002007DB">
              <w:rPr>
                <w:rFonts w:cstheme="minorHAnsi"/>
                <w:lang w:val="lt-LT"/>
              </w:rPr>
              <w:t xml:space="preserve"> </w:t>
            </w:r>
          </w:p>
          <w:p w14:paraId="5755D462" w14:textId="77777777" w:rsidR="00A553C9" w:rsidRPr="00A553C9" w:rsidRDefault="002007DB" w:rsidP="002007DB">
            <w:pPr>
              <w:jc w:val="both"/>
              <w:rPr>
                <w:rFonts w:cstheme="minorHAnsi"/>
                <w:highlight w:val="yellow"/>
                <w:lang w:val="lt-LT"/>
              </w:rPr>
            </w:pPr>
            <w:r>
              <w:rPr>
                <w:rFonts w:cstheme="minorHAnsi"/>
                <w:lang w:val="lt-LT"/>
              </w:rPr>
              <w:t>P</w:t>
            </w:r>
            <w:r w:rsidR="000E1FAD">
              <w:rPr>
                <w:rFonts w:cstheme="minorHAnsi"/>
                <w:lang w:val="lt-LT"/>
              </w:rPr>
              <w:t>erkančiosios organizacijos atlyg</w:t>
            </w:r>
            <w:r w:rsidR="00012404">
              <w:rPr>
                <w:rFonts w:cstheme="minorHAnsi"/>
                <w:lang w:val="lt-LT"/>
              </w:rPr>
              <w:t>io</w:t>
            </w:r>
            <w:r w:rsidR="000E1FAD">
              <w:rPr>
                <w:rFonts w:cstheme="minorHAnsi"/>
                <w:lang w:val="lt-LT"/>
              </w:rPr>
              <w:t xml:space="preserve"> palyginimo su Lietuvos rinka</w:t>
            </w:r>
            <w:r w:rsidR="00012404">
              <w:rPr>
                <w:rFonts w:cstheme="minorHAnsi"/>
                <w:lang w:val="lt-LT"/>
              </w:rPr>
              <w:t xml:space="preserve"> ataskaitos pateikimas.</w:t>
            </w:r>
          </w:p>
        </w:tc>
      </w:tr>
      <w:tr w:rsidR="002007DB" w:rsidRPr="00437315" w14:paraId="63F2E782" w14:textId="77777777" w:rsidTr="003D1AC2">
        <w:trPr>
          <w:trHeight w:val="197"/>
        </w:trPr>
        <w:tc>
          <w:tcPr>
            <w:tcW w:w="873" w:type="dxa"/>
          </w:tcPr>
          <w:p w14:paraId="2DBD0A1C" w14:textId="77777777" w:rsidR="002007DB" w:rsidRPr="00151419" w:rsidRDefault="002007DB" w:rsidP="002007DB">
            <w:pPr>
              <w:rPr>
                <w:rFonts w:cstheme="minorHAnsi"/>
                <w:lang w:val="lt-LT"/>
              </w:rPr>
            </w:pPr>
            <w:r w:rsidRPr="00437315">
              <w:rPr>
                <w:rFonts w:cstheme="minorHAnsi"/>
                <w:b/>
                <w:lang w:val="lt-LT"/>
              </w:rPr>
              <w:t>4.</w:t>
            </w:r>
          </w:p>
        </w:tc>
        <w:tc>
          <w:tcPr>
            <w:tcW w:w="8755" w:type="dxa"/>
          </w:tcPr>
          <w:p w14:paraId="48399416" w14:textId="77777777" w:rsidR="002007DB" w:rsidRPr="00151419" w:rsidRDefault="002007DB" w:rsidP="002007DB">
            <w:pPr>
              <w:jc w:val="both"/>
              <w:rPr>
                <w:rFonts w:cstheme="minorHAnsi"/>
                <w:lang w:val="lt-LT"/>
              </w:rPr>
            </w:pPr>
            <w:r w:rsidRPr="00437315">
              <w:rPr>
                <w:rFonts w:cstheme="minorHAnsi"/>
                <w:b/>
                <w:lang w:val="lt-LT"/>
              </w:rPr>
              <w:t>PASLAUGŲ TEIKIMO ORGANIZAVIMO TVARKA</w:t>
            </w:r>
          </w:p>
        </w:tc>
      </w:tr>
      <w:tr w:rsidR="002007DB" w:rsidRPr="00437315" w14:paraId="60EB7E9F" w14:textId="77777777" w:rsidTr="003D1AC2">
        <w:trPr>
          <w:trHeight w:val="197"/>
        </w:trPr>
        <w:tc>
          <w:tcPr>
            <w:tcW w:w="873" w:type="dxa"/>
          </w:tcPr>
          <w:p w14:paraId="78A8460F" w14:textId="77777777" w:rsidR="002007DB" w:rsidRPr="00151419" w:rsidRDefault="00A76214" w:rsidP="002007DB">
            <w:pPr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4.1.</w:t>
            </w:r>
          </w:p>
        </w:tc>
        <w:tc>
          <w:tcPr>
            <w:tcW w:w="8755" w:type="dxa"/>
          </w:tcPr>
          <w:p w14:paraId="6A949380" w14:textId="77777777" w:rsidR="002007DB" w:rsidRPr="0061188C" w:rsidRDefault="008466AC" w:rsidP="008466AC">
            <w:pPr>
              <w:jc w:val="both"/>
              <w:rPr>
                <w:rFonts w:cstheme="minorHAnsi"/>
                <w:i/>
                <w:lang w:val="lt-LT"/>
              </w:rPr>
            </w:pPr>
            <w:r w:rsidRPr="0061188C">
              <w:rPr>
                <w:rFonts w:cstheme="minorHAnsi"/>
                <w:i/>
                <w:lang w:val="lt-LT"/>
              </w:rPr>
              <w:t>P</w:t>
            </w:r>
            <w:r w:rsidR="00A76214" w:rsidRPr="0061188C">
              <w:rPr>
                <w:rFonts w:cstheme="minorHAnsi"/>
                <w:i/>
                <w:lang w:val="lt-LT"/>
              </w:rPr>
              <w:t>areigybių vert</w:t>
            </w:r>
            <w:r w:rsidR="008117CE" w:rsidRPr="0061188C">
              <w:rPr>
                <w:rFonts w:cstheme="minorHAnsi"/>
                <w:i/>
                <w:lang w:val="lt-LT"/>
              </w:rPr>
              <w:t>inimo, klasifikavimo</w:t>
            </w:r>
            <w:r w:rsidR="00A76214" w:rsidRPr="0061188C">
              <w:rPr>
                <w:rFonts w:cstheme="minorHAnsi"/>
                <w:i/>
                <w:lang w:val="lt-LT"/>
              </w:rPr>
              <w:t xml:space="preserve"> ir žemėlapio sudary</w:t>
            </w:r>
            <w:r w:rsidRPr="0061188C">
              <w:rPr>
                <w:rFonts w:cstheme="minorHAnsi"/>
                <w:i/>
                <w:lang w:val="lt-LT"/>
              </w:rPr>
              <w:t>mo paslaugų</w:t>
            </w:r>
            <w:r w:rsidR="00A76214" w:rsidRPr="0061188C">
              <w:rPr>
                <w:rFonts w:cstheme="minorHAnsi"/>
                <w:i/>
                <w:lang w:val="lt-LT"/>
              </w:rPr>
              <w:t>:</w:t>
            </w:r>
          </w:p>
        </w:tc>
      </w:tr>
      <w:tr w:rsidR="002007DB" w:rsidRPr="00437315" w14:paraId="234749AA" w14:textId="77777777" w:rsidTr="003D1AC2">
        <w:trPr>
          <w:trHeight w:val="197"/>
        </w:trPr>
        <w:tc>
          <w:tcPr>
            <w:tcW w:w="873" w:type="dxa"/>
          </w:tcPr>
          <w:p w14:paraId="456593E5" w14:textId="77777777" w:rsidR="002007DB" w:rsidRPr="00151419" w:rsidRDefault="00A76214" w:rsidP="002007DB">
            <w:pPr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4.1.1.</w:t>
            </w:r>
          </w:p>
        </w:tc>
        <w:tc>
          <w:tcPr>
            <w:tcW w:w="8755" w:type="dxa"/>
          </w:tcPr>
          <w:p w14:paraId="64E794E0" w14:textId="77777777" w:rsidR="002007DB" w:rsidRPr="00151419" w:rsidRDefault="0061188C" w:rsidP="00805F93">
            <w:pPr>
              <w:jc w:val="both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p</w:t>
            </w:r>
            <w:r w:rsidR="008466AC">
              <w:rPr>
                <w:rFonts w:cstheme="minorHAnsi"/>
                <w:lang w:val="lt-LT"/>
              </w:rPr>
              <w:t xml:space="preserve">aslaugų teikėjas </w:t>
            </w:r>
            <w:r w:rsidR="008117CE">
              <w:rPr>
                <w:rFonts w:cstheme="minorHAnsi"/>
                <w:lang w:val="lt-LT"/>
              </w:rPr>
              <w:t xml:space="preserve">ne vėliau kaip </w:t>
            </w:r>
            <w:r w:rsidR="008B2F42" w:rsidRPr="00152151">
              <w:rPr>
                <w:rFonts w:cstheme="minorHAnsi"/>
                <w:lang w:val="lt-LT"/>
              </w:rPr>
              <w:t>per 10 d. po sutarties</w:t>
            </w:r>
            <w:r w:rsidR="008117CE">
              <w:rPr>
                <w:rFonts w:cstheme="minorHAnsi"/>
                <w:lang w:val="lt-LT"/>
              </w:rPr>
              <w:t xml:space="preserve"> pasirašymo, suderinęs laiką su Perkančiąja organizacija, jos patalpose visiems įmonės darbuotojams pristato metodiką, pagal kurią </w:t>
            </w:r>
            <w:r w:rsidR="00805F93">
              <w:rPr>
                <w:rFonts w:cstheme="minorHAnsi"/>
                <w:lang w:val="lt-LT"/>
              </w:rPr>
              <w:t>bus klasifikuojamos pareigybės</w:t>
            </w:r>
            <w:r w:rsidR="00096CEB">
              <w:rPr>
                <w:rFonts w:cstheme="minorHAnsi"/>
                <w:lang w:val="lt-LT"/>
              </w:rPr>
              <w:t xml:space="preserve"> (priskyrimas lygiams)</w:t>
            </w:r>
            <w:r w:rsidR="00805F93">
              <w:rPr>
                <w:rFonts w:cstheme="minorHAnsi"/>
                <w:lang w:val="lt-LT"/>
              </w:rPr>
              <w:t xml:space="preserve"> bei atliekama darbo užmokesčio analizė</w:t>
            </w:r>
            <w:r w:rsidR="008117CE">
              <w:rPr>
                <w:rFonts w:cstheme="minorHAnsi"/>
                <w:lang w:val="lt-LT"/>
              </w:rPr>
              <w:t xml:space="preserve">. </w:t>
            </w:r>
          </w:p>
        </w:tc>
      </w:tr>
      <w:tr w:rsidR="008117CE" w:rsidRPr="00437315" w14:paraId="2E03B741" w14:textId="77777777" w:rsidTr="003D1AC2">
        <w:trPr>
          <w:trHeight w:val="197"/>
        </w:trPr>
        <w:tc>
          <w:tcPr>
            <w:tcW w:w="873" w:type="dxa"/>
          </w:tcPr>
          <w:p w14:paraId="00E1D501" w14:textId="77777777" w:rsidR="008117CE" w:rsidRDefault="008117CE" w:rsidP="008117CE">
            <w:pPr>
              <w:rPr>
                <w:rFonts w:cstheme="minorHAnsi"/>
              </w:rPr>
            </w:pPr>
            <w:r>
              <w:rPr>
                <w:rFonts w:cstheme="minorHAnsi"/>
              </w:rPr>
              <w:t>4.1.2.</w:t>
            </w:r>
          </w:p>
        </w:tc>
        <w:tc>
          <w:tcPr>
            <w:tcW w:w="8755" w:type="dxa"/>
          </w:tcPr>
          <w:p w14:paraId="72B53D75" w14:textId="77777777" w:rsidR="008117CE" w:rsidRPr="008466AC" w:rsidRDefault="0061188C" w:rsidP="00A032A4">
            <w:pPr>
              <w:jc w:val="both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p</w:t>
            </w:r>
            <w:r w:rsidR="008466AC" w:rsidRPr="008466AC">
              <w:rPr>
                <w:rFonts w:cstheme="minorHAnsi"/>
                <w:lang w:val="lt-LT"/>
              </w:rPr>
              <w:t>areigybių priskyrimas lygiams atliekamas pareigybių klasifikavimo sesijų metu</w:t>
            </w:r>
            <w:r w:rsidR="008466AC">
              <w:rPr>
                <w:rFonts w:cstheme="minorHAnsi"/>
                <w:lang w:val="lt-LT"/>
              </w:rPr>
              <w:t>. Paslaugų teikėjas organizuoja sesijas su konsultantu</w:t>
            </w:r>
            <w:r w:rsidR="008466AC" w:rsidRPr="008466AC">
              <w:rPr>
                <w:rFonts w:cstheme="minorHAnsi"/>
                <w:lang w:val="lt-LT"/>
              </w:rPr>
              <w:t xml:space="preserve"> </w:t>
            </w:r>
            <w:r w:rsidR="008117CE" w:rsidRPr="008466AC">
              <w:rPr>
                <w:rFonts w:cstheme="minorHAnsi"/>
                <w:lang w:val="lt-LT"/>
              </w:rPr>
              <w:t xml:space="preserve">pagal iš anksto </w:t>
            </w:r>
            <w:r w:rsidR="00A032A4">
              <w:rPr>
                <w:rFonts w:cstheme="minorHAnsi"/>
                <w:lang w:val="lt-LT"/>
              </w:rPr>
              <w:t>suderintą grafiką su Perkančiąja</w:t>
            </w:r>
            <w:r w:rsidR="008117CE" w:rsidRPr="008466AC">
              <w:rPr>
                <w:rFonts w:cstheme="minorHAnsi"/>
                <w:lang w:val="lt-LT"/>
              </w:rPr>
              <w:t xml:space="preserve"> organizacij</w:t>
            </w:r>
            <w:r w:rsidR="00A032A4">
              <w:rPr>
                <w:rFonts w:cstheme="minorHAnsi"/>
                <w:lang w:val="lt-LT"/>
              </w:rPr>
              <w:t>a</w:t>
            </w:r>
            <w:r w:rsidR="008117CE" w:rsidRPr="008466AC">
              <w:rPr>
                <w:rFonts w:cstheme="minorHAnsi"/>
                <w:lang w:val="lt-LT"/>
              </w:rPr>
              <w:t xml:space="preserve"> jos patalpose</w:t>
            </w:r>
            <w:r w:rsidR="008466AC" w:rsidRPr="008466AC">
              <w:rPr>
                <w:rFonts w:cstheme="minorHAnsi"/>
                <w:lang w:val="lt-LT"/>
              </w:rPr>
              <w:t xml:space="preserve"> </w:t>
            </w:r>
            <w:r w:rsidR="008117CE" w:rsidRPr="008466AC">
              <w:rPr>
                <w:rFonts w:cstheme="minorHAnsi"/>
                <w:lang w:val="lt-LT"/>
              </w:rPr>
              <w:t xml:space="preserve">ne vėliau kaip </w:t>
            </w:r>
            <w:r w:rsidR="008B2F42" w:rsidRPr="00152151">
              <w:rPr>
                <w:rFonts w:cstheme="minorHAnsi"/>
                <w:lang w:val="lt-LT"/>
              </w:rPr>
              <w:t>iki 2019 m. balandžio 5 d.</w:t>
            </w:r>
          </w:p>
        </w:tc>
      </w:tr>
      <w:tr w:rsidR="008117CE" w:rsidRPr="00437315" w14:paraId="4BF56831" w14:textId="77777777" w:rsidTr="003D1AC2">
        <w:trPr>
          <w:trHeight w:val="197"/>
        </w:trPr>
        <w:tc>
          <w:tcPr>
            <w:tcW w:w="873" w:type="dxa"/>
          </w:tcPr>
          <w:p w14:paraId="5F9A0078" w14:textId="77777777" w:rsidR="008117CE" w:rsidRDefault="008117CE" w:rsidP="008117CE">
            <w:pPr>
              <w:rPr>
                <w:rFonts w:cstheme="minorHAnsi"/>
              </w:rPr>
            </w:pPr>
            <w:r>
              <w:rPr>
                <w:rFonts w:cstheme="minorHAnsi"/>
              </w:rPr>
              <w:t>4.1.3.</w:t>
            </w:r>
          </w:p>
        </w:tc>
        <w:tc>
          <w:tcPr>
            <w:tcW w:w="8755" w:type="dxa"/>
          </w:tcPr>
          <w:p w14:paraId="3210DCDA" w14:textId="5C7FABC1" w:rsidR="008117CE" w:rsidRPr="008466AC" w:rsidRDefault="0061188C" w:rsidP="003833AD">
            <w:pPr>
              <w:jc w:val="both"/>
              <w:rPr>
                <w:rFonts w:cstheme="minorHAnsi"/>
                <w:lang w:val="lt-LT"/>
              </w:rPr>
            </w:pPr>
            <w:r w:rsidRPr="0061188C">
              <w:rPr>
                <w:rFonts w:cstheme="minorHAnsi"/>
                <w:lang w:val="lt-LT"/>
              </w:rPr>
              <w:t>paslaugų teikėjas</w:t>
            </w:r>
            <w:r>
              <w:rPr>
                <w:rFonts w:cstheme="minorHAnsi"/>
                <w:lang w:val="lt-LT"/>
              </w:rPr>
              <w:t xml:space="preserve">, iš anksto suderinęs laiką su Perkančiąja organizacija, organizuoja pareigybių žemėlapio projekto pristatymą ir tikslinimo sesiją. </w:t>
            </w:r>
            <w:r w:rsidR="00A032A4">
              <w:rPr>
                <w:rFonts w:cstheme="minorHAnsi"/>
                <w:lang w:val="lt-LT"/>
              </w:rPr>
              <w:t>Per 3 darbo dienas po minėtos sesijos</w:t>
            </w:r>
            <w:r>
              <w:rPr>
                <w:rFonts w:cstheme="minorHAnsi"/>
                <w:lang w:val="lt-LT"/>
              </w:rPr>
              <w:t>,</w:t>
            </w:r>
            <w:r w:rsidR="00A032A4">
              <w:rPr>
                <w:rFonts w:cstheme="minorHAnsi"/>
                <w:lang w:val="lt-LT"/>
              </w:rPr>
              <w:t xml:space="preserve"> bet</w:t>
            </w:r>
            <w:r>
              <w:rPr>
                <w:rFonts w:cstheme="minorHAnsi"/>
                <w:lang w:val="lt-LT"/>
              </w:rPr>
              <w:t xml:space="preserve"> ne </w:t>
            </w:r>
            <w:r w:rsidR="008B2F42" w:rsidRPr="00152151">
              <w:rPr>
                <w:rFonts w:cstheme="minorHAnsi"/>
                <w:lang w:val="lt-LT"/>
              </w:rPr>
              <w:t>vėliau kaip iki 2019 m. balandžio 30 d.</w:t>
            </w:r>
            <w:r>
              <w:rPr>
                <w:rFonts w:cstheme="minorHAnsi"/>
                <w:lang w:val="lt-LT"/>
              </w:rPr>
              <w:t xml:space="preserve"> pa</w:t>
            </w:r>
            <w:r w:rsidR="00A032A4">
              <w:rPr>
                <w:rFonts w:cstheme="minorHAnsi"/>
                <w:lang w:val="lt-LT"/>
              </w:rPr>
              <w:t>teiki</w:t>
            </w:r>
            <w:r>
              <w:rPr>
                <w:rFonts w:cstheme="minorHAnsi"/>
                <w:lang w:val="lt-LT"/>
              </w:rPr>
              <w:t xml:space="preserve">a </w:t>
            </w:r>
            <w:r w:rsidR="00A032A4">
              <w:rPr>
                <w:rFonts w:cstheme="minorHAnsi"/>
                <w:lang w:val="lt-LT"/>
              </w:rPr>
              <w:t>Perkančiajai organizacijai pareigybių žemėlapio galutinę versiją</w:t>
            </w:r>
            <w:r w:rsidR="003833AD">
              <w:rPr>
                <w:rFonts w:cstheme="minorHAnsi"/>
                <w:lang w:val="lt-LT"/>
              </w:rPr>
              <w:t xml:space="preserve"> ir </w:t>
            </w:r>
            <w:r w:rsidR="003833AD" w:rsidRPr="00152151">
              <w:rPr>
                <w:rFonts w:cstheme="minorHAnsi"/>
                <w:lang w:val="lt-LT"/>
              </w:rPr>
              <w:t xml:space="preserve">pristato </w:t>
            </w:r>
            <w:r w:rsidR="003833AD">
              <w:rPr>
                <w:rFonts w:cstheme="minorHAnsi"/>
                <w:lang w:val="lt-LT"/>
              </w:rPr>
              <w:t>visiems Įmonės darbuotojams, prieš tai pristatymą suderinęs su Perkančiosios organizacijos atsakingu asmeniu</w:t>
            </w:r>
            <w:r w:rsidR="00594B6B">
              <w:rPr>
                <w:rFonts w:cstheme="minorHAnsi"/>
                <w:lang w:val="lt-LT"/>
              </w:rPr>
              <w:t>.</w:t>
            </w:r>
          </w:p>
        </w:tc>
      </w:tr>
      <w:tr w:rsidR="008117CE" w:rsidRPr="00437315" w14:paraId="238580DA" w14:textId="77777777" w:rsidTr="003D1AC2">
        <w:trPr>
          <w:trHeight w:val="197"/>
        </w:trPr>
        <w:tc>
          <w:tcPr>
            <w:tcW w:w="873" w:type="dxa"/>
          </w:tcPr>
          <w:p w14:paraId="20AB0734" w14:textId="77777777" w:rsidR="008117CE" w:rsidRDefault="00C00B6E" w:rsidP="008117CE">
            <w:pPr>
              <w:rPr>
                <w:rFonts w:cstheme="minorHAnsi"/>
              </w:rPr>
            </w:pPr>
            <w:r>
              <w:rPr>
                <w:rFonts w:cstheme="minorHAnsi"/>
              </w:rPr>
              <w:t>4.2.</w:t>
            </w:r>
          </w:p>
        </w:tc>
        <w:tc>
          <w:tcPr>
            <w:tcW w:w="8755" w:type="dxa"/>
          </w:tcPr>
          <w:p w14:paraId="5C4022D7" w14:textId="77777777" w:rsidR="008117CE" w:rsidRPr="00C00B6E" w:rsidRDefault="00FD3032" w:rsidP="00FD3032">
            <w:pPr>
              <w:jc w:val="both"/>
              <w:rPr>
                <w:rFonts w:cstheme="minorHAnsi"/>
                <w:i/>
                <w:lang w:val="lt-LT"/>
              </w:rPr>
            </w:pPr>
            <w:r>
              <w:rPr>
                <w:rFonts w:cstheme="minorHAnsi"/>
                <w:i/>
                <w:lang w:val="lt-LT"/>
              </w:rPr>
              <w:t>A</w:t>
            </w:r>
            <w:r w:rsidR="00C00B6E" w:rsidRPr="00C00B6E">
              <w:rPr>
                <w:rFonts w:cstheme="minorHAnsi"/>
                <w:i/>
                <w:lang w:val="lt-LT"/>
              </w:rPr>
              <w:t>tlygio duomenų bazės ir analizė</w:t>
            </w:r>
            <w:r w:rsidR="00C00B6E">
              <w:rPr>
                <w:rFonts w:cstheme="minorHAnsi"/>
                <w:i/>
                <w:lang w:val="lt-LT"/>
              </w:rPr>
              <w:t>s paslaugų:</w:t>
            </w:r>
          </w:p>
        </w:tc>
      </w:tr>
      <w:tr w:rsidR="008117CE" w:rsidRPr="00437315" w14:paraId="2CBECFE6" w14:textId="77777777" w:rsidTr="003D1AC2">
        <w:trPr>
          <w:trHeight w:val="197"/>
        </w:trPr>
        <w:tc>
          <w:tcPr>
            <w:tcW w:w="873" w:type="dxa"/>
          </w:tcPr>
          <w:p w14:paraId="53ACF081" w14:textId="77777777" w:rsidR="008117CE" w:rsidRDefault="00C00B6E" w:rsidP="008117CE">
            <w:pPr>
              <w:rPr>
                <w:rFonts w:cstheme="minorHAnsi"/>
              </w:rPr>
            </w:pPr>
            <w:r>
              <w:rPr>
                <w:rFonts w:cstheme="minorHAnsi"/>
              </w:rPr>
              <w:t>4.2.1.</w:t>
            </w:r>
          </w:p>
        </w:tc>
        <w:tc>
          <w:tcPr>
            <w:tcW w:w="8755" w:type="dxa"/>
          </w:tcPr>
          <w:p w14:paraId="2C935F61" w14:textId="486E3265" w:rsidR="008117CE" w:rsidRPr="00C00B6E" w:rsidRDefault="00FD3032" w:rsidP="00344C6D">
            <w:pPr>
              <w:jc w:val="both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p</w:t>
            </w:r>
            <w:r w:rsidR="00C00B6E" w:rsidRPr="00C00B6E">
              <w:rPr>
                <w:rFonts w:cstheme="minorHAnsi"/>
                <w:lang w:val="lt-LT"/>
              </w:rPr>
              <w:t xml:space="preserve">aslaugų teikėjas prisijungimą prie </w:t>
            </w:r>
            <w:r w:rsidR="00C00B6E">
              <w:rPr>
                <w:rFonts w:cstheme="minorHAnsi"/>
                <w:lang w:val="lt-LT"/>
              </w:rPr>
              <w:t xml:space="preserve">2019 m. </w:t>
            </w:r>
            <w:r w:rsidR="00C00B6E" w:rsidRPr="00C00B6E">
              <w:rPr>
                <w:rFonts w:cstheme="minorHAnsi"/>
                <w:lang w:val="lt-LT"/>
              </w:rPr>
              <w:t xml:space="preserve">atlygio duomenų bazės </w:t>
            </w:r>
            <w:r w:rsidR="00344C6D">
              <w:rPr>
                <w:rFonts w:cstheme="minorHAnsi"/>
                <w:lang w:val="lt-LT"/>
              </w:rPr>
              <w:t>suteik</w:t>
            </w:r>
            <w:r w:rsidR="00C00B6E" w:rsidRPr="00C00B6E">
              <w:rPr>
                <w:rFonts w:cstheme="minorHAnsi"/>
                <w:lang w:val="lt-LT"/>
              </w:rPr>
              <w:t>i</w:t>
            </w:r>
            <w:r w:rsidR="00344C6D">
              <w:rPr>
                <w:rFonts w:cstheme="minorHAnsi"/>
                <w:lang w:val="lt-LT"/>
              </w:rPr>
              <w:t>a</w:t>
            </w:r>
            <w:r w:rsidR="00C00B6E" w:rsidRPr="00C00B6E">
              <w:rPr>
                <w:rFonts w:cstheme="minorHAnsi"/>
                <w:lang w:val="lt-LT"/>
              </w:rPr>
              <w:t xml:space="preserve"> Perkančiajai organizacijai iki 2019 m. rugpjūčio </w:t>
            </w:r>
            <w:r w:rsidR="00594B6B">
              <w:rPr>
                <w:rFonts w:cstheme="minorHAnsi"/>
                <w:lang w:val="lt-LT"/>
              </w:rPr>
              <w:t>23</w:t>
            </w:r>
            <w:r w:rsidR="00C00B6E" w:rsidRPr="00C00B6E">
              <w:rPr>
                <w:rFonts w:cstheme="minorHAnsi"/>
                <w:lang w:val="lt-LT"/>
              </w:rPr>
              <w:t xml:space="preserve"> d.</w:t>
            </w:r>
          </w:p>
        </w:tc>
      </w:tr>
      <w:tr w:rsidR="00C6775F" w:rsidRPr="00437315" w14:paraId="1BE69DF9" w14:textId="77777777" w:rsidTr="003D1AC2">
        <w:trPr>
          <w:trHeight w:val="197"/>
        </w:trPr>
        <w:tc>
          <w:tcPr>
            <w:tcW w:w="873" w:type="dxa"/>
          </w:tcPr>
          <w:p w14:paraId="2F3A8538" w14:textId="77777777" w:rsidR="00C6775F" w:rsidRDefault="00C6775F" w:rsidP="008117CE">
            <w:pPr>
              <w:rPr>
                <w:rFonts w:cstheme="minorHAnsi"/>
              </w:rPr>
            </w:pPr>
            <w:r>
              <w:rPr>
                <w:rFonts w:cstheme="minorHAnsi"/>
              </w:rPr>
              <w:t>4.2.2.</w:t>
            </w:r>
          </w:p>
        </w:tc>
        <w:tc>
          <w:tcPr>
            <w:tcW w:w="8755" w:type="dxa"/>
          </w:tcPr>
          <w:p w14:paraId="731586F0" w14:textId="77777777" w:rsidR="00C6775F" w:rsidRPr="00504C81" w:rsidRDefault="001208C8" w:rsidP="001208C8">
            <w:pPr>
              <w:jc w:val="both"/>
              <w:rPr>
                <w:rFonts w:cstheme="minorHAnsi"/>
                <w:lang w:val="lt-LT"/>
              </w:rPr>
            </w:pPr>
            <w:r w:rsidRPr="00504C81">
              <w:rPr>
                <w:rFonts w:cstheme="minorHAnsi"/>
                <w:lang w:val="lt-LT"/>
              </w:rPr>
              <w:t xml:space="preserve">atlygio duomenų bazėje informacija apie Perkančiosios organizacijos atlygį turi būti pateikta tokia forma: </w:t>
            </w:r>
            <w:r w:rsidR="008B2F42" w:rsidRPr="00504C81">
              <w:rPr>
                <w:rFonts w:cstheme="minorHAnsi"/>
                <w:lang w:val="lt-LT"/>
              </w:rPr>
              <w:t xml:space="preserve">bazinis atlyginimas, </w:t>
            </w:r>
            <w:r w:rsidR="004A13B1" w:rsidRPr="00504C81">
              <w:rPr>
                <w:rFonts w:cstheme="minorHAnsi"/>
                <w:lang w:val="lt-LT"/>
              </w:rPr>
              <w:t xml:space="preserve">kintamas darbo užmokestis, </w:t>
            </w:r>
            <w:r w:rsidR="008B2F42" w:rsidRPr="00504C81">
              <w:rPr>
                <w:rFonts w:cstheme="minorHAnsi"/>
                <w:lang w:val="lt-LT"/>
              </w:rPr>
              <w:t>trumpalaikis piniginis skatinimas (priedai, premijos), visas piniginis atlyginimas</w:t>
            </w:r>
            <w:r w:rsidRPr="00504C81">
              <w:rPr>
                <w:rFonts w:cstheme="minorHAnsi"/>
                <w:lang w:val="lt-LT"/>
              </w:rPr>
              <w:t>.</w:t>
            </w:r>
          </w:p>
        </w:tc>
      </w:tr>
      <w:tr w:rsidR="008117CE" w:rsidRPr="00437315" w14:paraId="4DCD92A1" w14:textId="77777777" w:rsidTr="004525CD">
        <w:tc>
          <w:tcPr>
            <w:tcW w:w="873" w:type="dxa"/>
          </w:tcPr>
          <w:p w14:paraId="79472BCD" w14:textId="77777777" w:rsidR="008117CE" w:rsidRPr="003D1AC2" w:rsidRDefault="00C6775F" w:rsidP="008117CE">
            <w:pPr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4.2.3</w:t>
            </w:r>
            <w:r w:rsidR="00C00B6E">
              <w:rPr>
                <w:rFonts w:cstheme="minorHAnsi"/>
                <w:lang w:val="lt-LT"/>
              </w:rPr>
              <w:t>.</w:t>
            </w:r>
          </w:p>
        </w:tc>
        <w:tc>
          <w:tcPr>
            <w:tcW w:w="8755" w:type="dxa"/>
          </w:tcPr>
          <w:p w14:paraId="3A684937" w14:textId="164841E4" w:rsidR="008117CE" w:rsidRPr="00344C6D" w:rsidRDefault="00FD3032" w:rsidP="008117CE">
            <w:pPr>
              <w:jc w:val="both"/>
              <w:rPr>
                <w:rFonts w:cstheme="minorHAnsi"/>
                <w:lang w:val="lt-LT"/>
              </w:rPr>
            </w:pPr>
            <w:r w:rsidRPr="00CB4EEA">
              <w:rPr>
                <w:rFonts w:cstheme="minorHAnsi"/>
                <w:lang w:val="lt-LT"/>
              </w:rPr>
              <w:t>a</w:t>
            </w:r>
            <w:r w:rsidR="00344C6D" w:rsidRPr="00CB4EEA">
              <w:rPr>
                <w:rFonts w:cstheme="minorHAnsi"/>
                <w:lang w:val="lt-LT"/>
              </w:rPr>
              <w:t xml:space="preserve">tlygio duomenų bazėje turi būti galimybė analizuoti ir lyginti tarpusavyje visus turimus Įmonės atlygio duomenis pagal pareigybių lygius, šeimas, </w:t>
            </w:r>
            <w:proofErr w:type="spellStart"/>
            <w:r w:rsidR="00344C6D" w:rsidRPr="00CB4EEA">
              <w:rPr>
                <w:rFonts w:cstheme="minorHAnsi"/>
                <w:lang w:val="lt-LT"/>
              </w:rPr>
              <w:t>pošeimius</w:t>
            </w:r>
            <w:proofErr w:type="spellEnd"/>
            <w:r w:rsidR="00344C6D" w:rsidRPr="00CB4EEA">
              <w:rPr>
                <w:rFonts w:cstheme="minorHAnsi"/>
                <w:lang w:val="lt-LT"/>
              </w:rPr>
              <w:t xml:space="preserve">, pagrindinius Lietuvos miestus, įmonės nuosavybės tipą (tarptautinės ir vietinės įmonės)su Lietuvos rinkos duomenimis. Turi būti galimybė pasitikrinti Įmonės atlyginimų vidinį teisingumą ir atlikti grafinį palyginimą su bendra </w:t>
            </w:r>
            <w:r w:rsidR="00CB4EEA">
              <w:rPr>
                <w:rFonts w:cstheme="minorHAnsi"/>
                <w:lang w:val="lt-LT"/>
              </w:rPr>
              <w:t xml:space="preserve">Lietuvos </w:t>
            </w:r>
            <w:r w:rsidR="00344C6D" w:rsidRPr="00CB4EEA">
              <w:rPr>
                <w:rFonts w:cstheme="minorHAnsi"/>
                <w:lang w:val="lt-LT"/>
              </w:rPr>
              <w:t>atlygio rinkos mediana.</w:t>
            </w:r>
          </w:p>
        </w:tc>
      </w:tr>
      <w:tr w:rsidR="008117CE" w:rsidRPr="00437315" w14:paraId="5061F68F" w14:textId="77777777" w:rsidTr="004525CD">
        <w:tc>
          <w:tcPr>
            <w:tcW w:w="873" w:type="dxa"/>
          </w:tcPr>
          <w:p w14:paraId="627F078C" w14:textId="77777777" w:rsidR="008117CE" w:rsidRPr="003D1AC2" w:rsidRDefault="00C6775F" w:rsidP="008117CE">
            <w:pPr>
              <w:rPr>
                <w:rFonts w:cstheme="minorHAnsi"/>
              </w:rPr>
            </w:pPr>
            <w:r>
              <w:rPr>
                <w:rFonts w:cstheme="minorHAnsi"/>
              </w:rPr>
              <w:t>4.2.4</w:t>
            </w:r>
            <w:r w:rsidR="00C00B6E">
              <w:rPr>
                <w:rFonts w:cstheme="minorHAnsi"/>
              </w:rPr>
              <w:t>.</w:t>
            </w:r>
          </w:p>
        </w:tc>
        <w:tc>
          <w:tcPr>
            <w:tcW w:w="8755" w:type="dxa"/>
          </w:tcPr>
          <w:p w14:paraId="3E5176A0" w14:textId="455B160D" w:rsidR="00D87147" w:rsidRPr="006F3B50" w:rsidRDefault="00FD3032" w:rsidP="00D87147">
            <w:pPr>
              <w:jc w:val="both"/>
              <w:rPr>
                <w:color w:val="000000"/>
                <w:lang w:val="lt-LT"/>
              </w:rPr>
            </w:pPr>
            <w:r w:rsidRPr="004109A2">
              <w:rPr>
                <w:rFonts w:cstheme="minorHAnsi"/>
                <w:lang w:val="lt-LT"/>
              </w:rPr>
              <w:t>p</w:t>
            </w:r>
            <w:r w:rsidR="00D87147" w:rsidRPr="004109A2">
              <w:rPr>
                <w:rFonts w:cstheme="minorHAnsi"/>
                <w:lang w:val="lt-LT"/>
              </w:rPr>
              <w:t xml:space="preserve">aslaugų teikėjas iki 2019 m. rugsėjo 15 d. pateikia perkančiajai organizacijai Excel formatu palyginamąją ataskaitą – Įmonės </w:t>
            </w:r>
            <w:r w:rsidR="006F3B50" w:rsidRPr="004109A2">
              <w:rPr>
                <w:rFonts w:cstheme="minorHAnsi"/>
                <w:lang w:val="lt-LT"/>
              </w:rPr>
              <w:t>a</w:t>
            </w:r>
            <w:r w:rsidR="004109A2" w:rsidRPr="004109A2">
              <w:rPr>
                <w:rFonts w:cstheme="minorHAnsi"/>
                <w:lang w:val="lt-LT"/>
              </w:rPr>
              <w:t>t</w:t>
            </w:r>
            <w:r w:rsidR="006F3B50" w:rsidRPr="004109A2">
              <w:rPr>
                <w:rFonts w:cstheme="minorHAnsi"/>
                <w:lang w:val="lt-LT"/>
              </w:rPr>
              <w:t>l</w:t>
            </w:r>
            <w:r w:rsidR="00D87147" w:rsidRPr="004109A2">
              <w:rPr>
                <w:rFonts w:cstheme="minorHAnsi"/>
                <w:lang w:val="lt-LT"/>
              </w:rPr>
              <w:t xml:space="preserve">ygio praktikos </w:t>
            </w:r>
            <w:r w:rsidR="00D87147" w:rsidRPr="004109A2">
              <w:rPr>
                <w:color w:val="000000"/>
                <w:lang w:val="lt-LT"/>
              </w:rPr>
              <w:t>(</w:t>
            </w:r>
            <w:r w:rsidR="00A65486">
              <w:rPr>
                <w:color w:val="000000"/>
                <w:lang w:val="lt-LT"/>
              </w:rPr>
              <w:t>dviejų</w:t>
            </w:r>
            <w:r w:rsidR="00D87147" w:rsidRPr="004109A2">
              <w:rPr>
                <w:color w:val="000000"/>
                <w:lang w:val="lt-LT"/>
              </w:rPr>
              <w:t xml:space="preserve"> atlygio elementų (bazinio bei viso piniginio atlygio)</w:t>
            </w:r>
            <w:r w:rsidR="006F3B50" w:rsidRPr="004109A2">
              <w:rPr>
                <w:color w:val="000000"/>
                <w:lang w:val="lt-LT"/>
              </w:rPr>
              <w:t xml:space="preserve"> palyginimą</w:t>
            </w:r>
            <w:r w:rsidR="00D87147" w:rsidRPr="004109A2">
              <w:rPr>
                <w:color w:val="000000"/>
                <w:lang w:val="lt-LT"/>
              </w:rPr>
              <w:t xml:space="preserve"> su Lietuvos rinka šiais pjūviais:</w:t>
            </w:r>
            <w:r w:rsidR="00D87147" w:rsidRPr="006F3B50">
              <w:rPr>
                <w:color w:val="000000"/>
                <w:lang w:val="lt-LT"/>
              </w:rPr>
              <w:t xml:space="preserve"> </w:t>
            </w:r>
          </w:p>
          <w:p w14:paraId="5640C020" w14:textId="77777777" w:rsidR="00D87147" w:rsidRPr="006F3B50" w:rsidRDefault="00D87147" w:rsidP="00D87147">
            <w:pPr>
              <w:jc w:val="both"/>
              <w:rPr>
                <w:color w:val="000000"/>
                <w:lang w:val="lt-LT"/>
              </w:rPr>
            </w:pPr>
            <w:r w:rsidRPr="006F3B50">
              <w:rPr>
                <w:color w:val="000000"/>
                <w:lang w:val="lt-LT"/>
              </w:rPr>
              <w:t>1) bendra Lietuvos atlyginimų rinka;</w:t>
            </w:r>
          </w:p>
          <w:p w14:paraId="0D1769F7" w14:textId="77777777" w:rsidR="00D87147" w:rsidRPr="006F3B50" w:rsidRDefault="00D87147" w:rsidP="00D87147">
            <w:pPr>
              <w:jc w:val="both"/>
              <w:rPr>
                <w:color w:val="000000"/>
                <w:lang w:val="lt-LT"/>
              </w:rPr>
            </w:pPr>
            <w:r w:rsidRPr="006F3B50">
              <w:rPr>
                <w:color w:val="000000"/>
                <w:lang w:val="lt-LT"/>
              </w:rPr>
              <w:lastRenderedPageBreak/>
              <w:t xml:space="preserve">2) vietinio </w:t>
            </w:r>
            <w:r w:rsidR="00552F1D">
              <w:rPr>
                <w:color w:val="000000"/>
                <w:lang w:val="lt-LT"/>
              </w:rPr>
              <w:t xml:space="preserve">privataus </w:t>
            </w:r>
            <w:r w:rsidRPr="006F3B50">
              <w:rPr>
                <w:color w:val="000000"/>
                <w:lang w:val="lt-LT"/>
              </w:rPr>
              <w:t>kapitalo įmonių rinka;</w:t>
            </w:r>
          </w:p>
          <w:p w14:paraId="5648D024" w14:textId="77777777" w:rsidR="00D87147" w:rsidRDefault="00D87147" w:rsidP="00D87147">
            <w:pPr>
              <w:jc w:val="both"/>
              <w:rPr>
                <w:color w:val="000000"/>
                <w:lang w:val="lt-LT"/>
              </w:rPr>
            </w:pPr>
            <w:r w:rsidRPr="006F3B50">
              <w:rPr>
                <w:color w:val="000000"/>
                <w:lang w:val="lt-LT"/>
              </w:rPr>
              <w:t xml:space="preserve">3) užsienio </w:t>
            </w:r>
            <w:r w:rsidR="00552F1D">
              <w:rPr>
                <w:color w:val="000000"/>
                <w:lang w:val="lt-LT"/>
              </w:rPr>
              <w:t xml:space="preserve">privataus </w:t>
            </w:r>
            <w:r w:rsidRPr="006F3B50">
              <w:rPr>
                <w:color w:val="000000"/>
                <w:lang w:val="lt-LT"/>
              </w:rPr>
              <w:t>kapitalo įmonių rinka;</w:t>
            </w:r>
          </w:p>
          <w:p w14:paraId="59DEFB17" w14:textId="77777777" w:rsidR="00D87147" w:rsidRPr="006F3B50" w:rsidRDefault="00D87147" w:rsidP="00D87147">
            <w:pPr>
              <w:jc w:val="both"/>
              <w:rPr>
                <w:color w:val="000000"/>
                <w:lang w:val="lt-LT"/>
              </w:rPr>
            </w:pPr>
            <w:r w:rsidRPr="006F3B50">
              <w:rPr>
                <w:color w:val="000000"/>
                <w:lang w:val="lt-LT"/>
              </w:rPr>
              <w:t>4) pareigybių šeimos;</w:t>
            </w:r>
          </w:p>
          <w:p w14:paraId="5A537FFD" w14:textId="75000434" w:rsidR="008117CE" w:rsidRPr="006F3B50" w:rsidRDefault="00D87147" w:rsidP="004109A2">
            <w:pPr>
              <w:jc w:val="both"/>
              <w:rPr>
                <w:color w:val="000000"/>
                <w:lang w:val="lt-LT"/>
              </w:rPr>
            </w:pPr>
            <w:r w:rsidRPr="006F3B50">
              <w:rPr>
                <w:color w:val="000000"/>
                <w:lang w:val="lt-LT"/>
              </w:rPr>
              <w:t>6) sektoriai</w:t>
            </w:r>
            <w:r w:rsidR="004109A2">
              <w:rPr>
                <w:color w:val="000000"/>
                <w:lang w:val="lt-LT"/>
              </w:rPr>
              <w:t>s</w:t>
            </w:r>
            <w:r w:rsidR="00A65486">
              <w:rPr>
                <w:color w:val="000000"/>
                <w:lang w:val="lt-LT"/>
              </w:rPr>
              <w:t>.</w:t>
            </w:r>
          </w:p>
        </w:tc>
      </w:tr>
      <w:tr w:rsidR="00524B22" w:rsidRPr="00437315" w14:paraId="4C82D822" w14:textId="77777777" w:rsidTr="004525CD">
        <w:tc>
          <w:tcPr>
            <w:tcW w:w="873" w:type="dxa"/>
          </w:tcPr>
          <w:p w14:paraId="593CAA22" w14:textId="77777777" w:rsidR="00524B22" w:rsidRDefault="00C6775F" w:rsidP="008117C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4.2.6</w:t>
            </w:r>
            <w:r w:rsidR="00524B22">
              <w:rPr>
                <w:rFonts w:cstheme="minorHAnsi"/>
              </w:rPr>
              <w:t>.</w:t>
            </w:r>
          </w:p>
        </w:tc>
        <w:tc>
          <w:tcPr>
            <w:tcW w:w="8755" w:type="dxa"/>
          </w:tcPr>
          <w:p w14:paraId="0757C08F" w14:textId="77777777" w:rsidR="00E443A0" w:rsidRDefault="006F3B50" w:rsidP="006973C2">
            <w:pPr>
              <w:jc w:val="both"/>
              <w:rPr>
                <w:rFonts w:cstheme="minorHAnsi"/>
                <w:lang w:val="lt-LT"/>
              </w:rPr>
            </w:pPr>
            <w:r w:rsidRPr="00D76EDB">
              <w:rPr>
                <w:rFonts w:cstheme="minorHAnsi"/>
                <w:lang w:val="lt-LT"/>
              </w:rPr>
              <w:t xml:space="preserve">Paslaugų teikėjas iki 2019 m. spalio 1 d. </w:t>
            </w:r>
            <w:r w:rsidRPr="00D76EDB">
              <w:rPr>
                <w:color w:val="000000"/>
                <w:lang w:val="lt-LT"/>
              </w:rPr>
              <w:t xml:space="preserve">Perkančiosios organizacijos </w:t>
            </w:r>
            <w:r w:rsidR="006973C2">
              <w:rPr>
                <w:color w:val="000000"/>
                <w:lang w:val="lt-LT"/>
              </w:rPr>
              <w:t>darbuotojams</w:t>
            </w:r>
            <w:r w:rsidRPr="00D76EDB">
              <w:rPr>
                <w:color w:val="000000"/>
                <w:lang w:val="lt-LT"/>
              </w:rPr>
              <w:t xml:space="preserve"> </w:t>
            </w:r>
            <w:r w:rsidRPr="00D76EDB">
              <w:rPr>
                <w:rFonts w:cstheme="minorHAnsi"/>
                <w:lang w:val="lt-LT"/>
              </w:rPr>
              <w:t xml:space="preserve">pristato </w:t>
            </w:r>
            <w:r w:rsidR="00552F1D">
              <w:rPr>
                <w:rFonts w:cstheme="minorHAnsi"/>
                <w:lang w:val="lt-LT"/>
              </w:rPr>
              <w:t xml:space="preserve">perkančiosios organizacijos </w:t>
            </w:r>
            <w:r w:rsidRPr="00D76EDB">
              <w:rPr>
                <w:color w:val="000000"/>
                <w:lang w:val="lt-LT"/>
              </w:rPr>
              <w:t xml:space="preserve">atlyginimų </w:t>
            </w:r>
            <w:r w:rsidR="00552F1D">
              <w:rPr>
                <w:color w:val="000000"/>
                <w:lang w:val="lt-LT"/>
              </w:rPr>
              <w:t xml:space="preserve">palyginimą ir analizę su Lietuvos </w:t>
            </w:r>
            <w:r w:rsidRPr="00D76EDB">
              <w:rPr>
                <w:color w:val="000000"/>
                <w:lang w:val="lt-LT"/>
              </w:rPr>
              <w:t xml:space="preserve">rinkos </w:t>
            </w:r>
            <w:r w:rsidR="00552F1D">
              <w:rPr>
                <w:color w:val="000000"/>
                <w:lang w:val="lt-LT"/>
              </w:rPr>
              <w:t xml:space="preserve">atlyginimo </w:t>
            </w:r>
            <w:r w:rsidRPr="00D76EDB">
              <w:rPr>
                <w:color w:val="000000"/>
                <w:lang w:val="lt-LT"/>
              </w:rPr>
              <w:t>tyrimo rezultat</w:t>
            </w:r>
            <w:r w:rsidR="00552F1D">
              <w:rPr>
                <w:color w:val="000000"/>
                <w:lang w:val="lt-LT"/>
              </w:rPr>
              <w:t xml:space="preserve">ais pagal naujausius </w:t>
            </w:r>
            <w:proofErr w:type="spellStart"/>
            <w:r w:rsidR="008B2F42">
              <w:rPr>
                <w:color w:val="000000"/>
              </w:rPr>
              <w:t>duomenis</w:t>
            </w:r>
            <w:proofErr w:type="spellEnd"/>
            <w:r w:rsidR="008B2F42" w:rsidRPr="008B2F42">
              <w:rPr>
                <w:color w:val="000000"/>
              </w:rPr>
              <w:t>.</w:t>
            </w:r>
          </w:p>
        </w:tc>
      </w:tr>
      <w:tr w:rsidR="008117CE" w:rsidRPr="00437315" w14:paraId="64B8F196" w14:textId="77777777" w:rsidTr="004525CD">
        <w:tc>
          <w:tcPr>
            <w:tcW w:w="873" w:type="dxa"/>
          </w:tcPr>
          <w:p w14:paraId="52AA744E" w14:textId="77777777" w:rsidR="008117CE" w:rsidRDefault="00C6775F" w:rsidP="008117CE">
            <w:pPr>
              <w:rPr>
                <w:rFonts w:cstheme="minorHAnsi"/>
              </w:rPr>
            </w:pPr>
            <w:r>
              <w:rPr>
                <w:rFonts w:cstheme="minorHAnsi"/>
              </w:rPr>
              <w:t>4.2.6</w:t>
            </w:r>
            <w:r w:rsidR="006F3B50">
              <w:rPr>
                <w:rFonts w:cstheme="minorHAnsi"/>
              </w:rPr>
              <w:t>.</w:t>
            </w:r>
          </w:p>
        </w:tc>
        <w:tc>
          <w:tcPr>
            <w:tcW w:w="8755" w:type="dxa"/>
          </w:tcPr>
          <w:p w14:paraId="703CBA03" w14:textId="4AE2612E" w:rsidR="00E443A0" w:rsidRDefault="006F3B50">
            <w:pPr>
              <w:jc w:val="both"/>
              <w:rPr>
                <w:color w:val="000000"/>
                <w:lang w:val="lt-LT"/>
              </w:rPr>
            </w:pPr>
            <w:r w:rsidRPr="006973C2">
              <w:rPr>
                <w:color w:val="000000"/>
                <w:lang w:val="lt-LT"/>
              </w:rPr>
              <w:t xml:space="preserve">Paslaugų tiekėjas </w:t>
            </w:r>
            <w:r w:rsidR="00010AD3" w:rsidRPr="006973C2">
              <w:rPr>
                <w:color w:val="000000"/>
                <w:lang w:val="lt-LT"/>
              </w:rPr>
              <w:t xml:space="preserve">apmoko </w:t>
            </w:r>
            <w:r w:rsidRPr="006973C2">
              <w:rPr>
                <w:color w:val="000000"/>
                <w:lang w:val="lt-LT"/>
              </w:rPr>
              <w:t xml:space="preserve">2 Perkančiosios organizacijos darbuotojus naudotis </w:t>
            </w:r>
            <w:r w:rsidRPr="006973C2">
              <w:rPr>
                <w:rFonts w:cstheme="minorHAnsi"/>
                <w:lang w:val="lt-LT"/>
              </w:rPr>
              <w:t>Atlygio duomenų baze, ataskait</w:t>
            </w:r>
            <w:r w:rsidR="00E70C08" w:rsidRPr="006973C2">
              <w:rPr>
                <w:rFonts w:cstheme="minorHAnsi"/>
                <w:lang w:val="lt-LT"/>
              </w:rPr>
              <w:t>omis</w:t>
            </w:r>
            <w:r w:rsidRPr="006973C2">
              <w:rPr>
                <w:rFonts w:cstheme="minorHAnsi"/>
                <w:lang w:val="lt-LT"/>
              </w:rPr>
              <w:t>.</w:t>
            </w:r>
            <w:r w:rsidR="00E70C08" w:rsidRPr="006973C2">
              <w:rPr>
                <w:rFonts w:cstheme="minorHAnsi"/>
                <w:lang w:val="lt-LT"/>
              </w:rPr>
              <w:t xml:space="preserve"> Paslauga turi būti suteikta individualiai pagal su Perkanč</w:t>
            </w:r>
            <w:r w:rsidR="00AB1578">
              <w:rPr>
                <w:rFonts w:cstheme="minorHAnsi"/>
                <w:lang w:val="lt-LT"/>
              </w:rPr>
              <w:t>i</w:t>
            </w:r>
            <w:r w:rsidR="00E70C08" w:rsidRPr="006973C2">
              <w:rPr>
                <w:rFonts w:cstheme="minorHAnsi"/>
                <w:lang w:val="lt-LT"/>
              </w:rPr>
              <w:t>ąją organizaciją suderintą laiką.</w:t>
            </w:r>
          </w:p>
        </w:tc>
      </w:tr>
      <w:tr w:rsidR="008117CE" w:rsidRPr="00437315" w14:paraId="575788BC" w14:textId="77777777" w:rsidTr="004525CD">
        <w:tc>
          <w:tcPr>
            <w:tcW w:w="873" w:type="dxa"/>
          </w:tcPr>
          <w:p w14:paraId="2618E1EF" w14:textId="77777777" w:rsidR="008117CE" w:rsidRPr="00437315" w:rsidRDefault="00C6775F" w:rsidP="008117CE">
            <w:pPr>
              <w:rPr>
                <w:rFonts w:cstheme="minorHAnsi"/>
              </w:rPr>
            </w:pPr>
            <w:r>
              <w:rPr>
                <w:rFonts w:cstheme="minorHAnsi"/>
              </w:rPr>
              <w:t>4.2.7</w:t>
            </w:r>
            <w:r w:rsidR="00A8232F">
              <w:rPr>
                <w:rFonts w:cstheme="minorHAnsi"/>
              </w:rPr>
              <w:t>.</w:t>
            </w:r>
          </w:p>
        </w:tc>
        <w:tc>
          <w:tcPr>
            <w:tcW w:w="8755" w:type="dxa"/>
          </w:tcPr>
          <w:p w14:paraId="23A04A85" w14:textId="77777777" w:rsidR="00E443A0" w:rsidRDefault="00D76EDB">
            <w:pPr>
              <w:jc w:val="both"/>
              <w:rPr>
                <w:rFonts w:cstheme="minorHAnsi"/>
                <w:lang w:val="lt-LT"/>
              </w:rPr>
            </w:pPr>
            <w:r w:rsidRPr="00D76EDB">
              <w:rPr>
                <w:rFonts w:cstheme="minorHAnsi"/>
                <w:lang w:val="lt-LT"/>
              </w:rPr>
              <w:t>Paslaugų teikėjas sutarties galiojimo laikotarpiu nemokamai teikia konsultacijas telefonu, el. paštu aukščiau išvardintų priemonių klausimais.</w:t>
            </w:r>
          </w:p>
        </w:tc>
      </w:tr>
      <w:tr w:rsidR="008117CE" w:rsidRPr="00437315" w14:paraId="3DBDEE2D" w14:textId="77777777" w:rsidTr="004525CD">
        <w:tc>
          <w:tcPr>
            <w:tcW w:w="873" w:type="dxa"/>
          </w:tcPr>
          <w:p w14:paraId="485436FC" w14:textId="77777777" w:rsidR="008117CE" w:rsidRPr="00437315" w:rsidRDefault="008117CE" w:rsidP="008117CE">
            <w:pPr>
              <w:jc w:val="both"/>
              <w:rPr>
                <w:rFonts w:cstheme="minorHAnsi"/>
                <w:b/>
                <w:lang w:val="lt-LT"/>
              </w:rPr>
            </w:pPr>
            <w:r w:rsidRPr="00437315">
              <w:rPr>
                <w:rFonts w:cstheme="minorHAnsi"/>
                <w:b/>
                <w:lang w:val="lt-LT"/>
              </w:rPr>
              <w:t>5.</w:t>
            </w:r>
          </w:p>
        </w:tc>
        <w:tc>
          <w:tcPr>
            <w:tcW w:w="8755" w:type="dxa"/>
          </w:tcPr>
          <w:p w14:paraId="61CE2DBF" w14:textId="77777777" w:rsidR="008117CE" w:rsidRPr="00437315" w:rsidRDefault="008117CE" w:rsidP="008117CE">
            <w:pPr>
              <w:jc w:val="both"/>
              <w:rPr>
                <w:rFonts w:cstheme="minorHAnsi"/>
                <w:b/>
                <w:lang w:val="lt-LT"/>
              </w:rPr>
            </w:pPr>
            <w:r w:rsidRPr="00437315">
              <w:rPr>
                <w:rFonts w:cstheme="minorHAnsi"/>
                <w:b/>
                <w:lang w:val="lt-LT"/>
              </w:rPr>
              <w:t>REIKALAVIMAI PASLAUGOS TEIKĖJUI</w:t>
            </w:r>
          </w:p>
        </w:tc>
      </w:tr>
      <w:tr w:rsidR="008117CE" w:rsidRPr="00437315" w14:paraId="4339467B" w14:textId="77777777" w:rsidTr="004525CD">
        <w:tc>
          <w:tcPr>
            <w:tcW w:w="873" w:type="dxa"/>
          </w:tcPr>
          <w:p w14:paraId="3A66FC81" w14:textId="77777777" w:rsidR="008117CE" w:rsidRPr="00437315" w:rsidRDefault="008117CE" w:rsidP="008117CE">
            <w:pPr>
              <w:jc w:val="both"/>
              <w:rPr>
                <w:rFonts w:cstheme="minorHAnsi"/>
                <w:lang w:val="lt-LT"/>
              </w:rPr>
            </w:pPr>
            <w:r w:rsidRPr="00437315">
              <w:rPr>
                <w:rFonts w:cstheme="minorHAnsi"/>
                <w:lang w:val="lt-LT"/>
              </w:rPr>
              <w:t>5.1.</w:t>
            </w:r>
          </w:p>
        </w:tc>
        <w:tc>
          <w:tcPr>
            <w:tcW w:w="8755" w:type="dxa"/>
          </w:tcPr>
          <w:p w14:paraId="1BF1B7A2" w14:textId="77777777" w:rsidR="008117CE" w:rsidRPr="00437315" w:rsidRDefault="008117CE" w:rsidP="008117CE">
            <w:pPr>
              <w:tabs>
                <w:tab w:val="left" w:pos="287"/>
              </w:tabs>
              <w:ind w:firstLine="4"/>
              <w:jc w:val="both"/>
              <w:rPr>
                <w:rFonts w:cstheme="minorHAnsi"/>
                <w:lang w:val="lt-LT"/>
              </w:rPr>
            </w:pPr>
            <w:r w:rsidRPr="00437315">
              <w:rPr>
                <w:rFonts w:cstheme="minorHAnsi"/>
                <w:lang w:val="lt-LT"/>
              </w:rPr>
              <w:t>Paslaugos teikėjui keliami reikalavimai:</w:t>
            </w:r>
          </w:p>
          <w:p w14:paraId="73B17E87" w14:textId="57DC3F21" w:rsidR="00891033" w:rsidRPr="00891033" w:rsidRDefault="008117CE" w:rsidP="00891033">
            <w:pPr>
              <w:pStyle w:val="ListParagraph"/>
              <w:numPr>
                <w:ilvl w:val="0"/>
                <w:numId w:val="6"/>
              </w:numPr>
              <w:tabs>
                <w:tab w:val="left" w:pos="287"/>
              </w:tabs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DF3C65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Pareigybių lygio įvertinimui ir nustatymui vadovautis</w:t>
            </w:r>
            <w:r w:rsidR="00A41C3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tarptautinio lygmens</w:t>
            </w:r>
            <w:r w:rsidRPr="00DF3C65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ir Lie</w:t>
            </w: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tuvoje plačiai taikoma </w:t>
            </w:r>
            <w:proofErr w:type="spellStart"/>
            <w:r w:rsidR="00594B6B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Hay</w:t>
            </w:r>
            <w:proofErr w:type="spellEnd"/>
            <w:r w:rsidR="00594B6B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metodika</w:t>
            </w:r>
            <w:r w:rsidR="00594B6B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  <w:p w14:paraId="647C12AF" w14:textId="63EA36B2" w:rsidR="001D57D6" w:rsidRDefault="001D57D6" w:rsidP="008117CE">
            <w:pPr>
              <w:pStyle w:val="ListParagraph"/>
              <w:numPr>
                <w:ilvl w:val="0"/>
                <w:numId w:val="6"/>
              </w:numPr>
              <w:tabs>
                <w:tab w:val="left" w:pos="287"/>
              </w:tabs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Įmonės patirtis atliekant pareigybių klasifikavimą ir skir</w:t>
            </w:r>
            <w:r w:rsidR="00E04F88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s</w:t>
            </w:r>
            <w:r w:rsidR="007A780B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ymą pagal kategorijas bei atlygio ty</w:t>
            </w:r>
            <w:r w:rsidR="007A780B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imų ir analizės srityse ne mažesnė kaip 15 metų.</w:t>
            </w:r>
          </w:p>
          <w:p w14:paraId="06E5A8CE" w14:textId="2F45FEF8" w:rsidR="008117CE" w:rsidRDefault="008117CE" w:rsidP="0099023C">
            <w:pPr>
              <w:pStyle w:val="ListParagraph"/>
              <w:numPr>
                <w:ilvl w:val="0"/>
                <w:numId w:val="6"/>
              </w:numPr>
              <w:tabs>
                <w:tab w:val="left" w:pos="287"/>
                <w:tab w:val="left" w:pos="1309"/>
              </w:tabs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Konsultanto patirtis, dirbant su pareigybių vertinimo </w:t>
            </w:r>
            <w:proofErr w:type="spellStart"/>
            <w:r w:rsidR="00594B6B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Hay</w:t>
            </w:r>
            <w:proofErr w:type="spellEnd"/>
            <w:r w:rsidR="00594B6B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metodologija , turi būti ne </w:t>
            </w:r>
            <w:r w:rsidRPr="007A780B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mažesnė kaip 5 m.</w:t>
            </w:r>
          </w:p>
          <w:p w14:paraId="3389A986" w14:textId="337FBC38" w:rsidR="00E636AD" w:rsidRPr="008455F7" w:rsidRDefault="00E636AD" w:rsidP="004C1C5E">
            <w:pPr>
              <w:pStyle w:val="ListParagraph"/>
              <w:numPr>
                <w:ilvl w:val="0"/>
                <w:numId w:val="6"/>
              </w:numPr>
              <w:tabs>
                <w:tab w:val="left" w:pos="287"/>
              </w:tabs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Darbo užmokesčio</w:t>
            </w:r>
            <w:r w:rsidR="001D57D6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dydžius</w:t>
            </w: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rinkos tyrimui pateikiančių įmonių imtis Lietuvoje ne mažesnė </w:t>
            </w:r>
            <w:r w:rsidRPr="007D2695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kaip </w:t>
            </w:r>
            <w:r w:rsidR="00594B6B" w:rsidRPr="007D2695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</w:t>
            </w:r>
            <w:r w:rsidRPr="007D2695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50 dalyv</w:t>
            </w:r>
            <w:r w:rsidRPr="00891033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ių</w:t>
            </w:r>
            <w:r w:rsidR="00F03BA4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</w:tr>
      <w:tr w:rsidR="008117CE" w:rsidRPr="00437315" w14:paraId="444C41EB" w14:textId="77777777" w:rsidTr="004525CD">
        <w:tc>
          <w:tcPr>
            <w:tcW w:w="873" w:type="dxa"/>
          </w:tcPr>
          <w:p w14:paraId="0751BD7F" w14:textId="3DC71418" w:rsidR="008117CE" w:rsidRPr="00437315" w:rsidRDefault="008117CE" w:rsidP="008117CE">
            <w:pPr>
              <w:jc w:val="both"/>
              <w:rPr>
                <w:rFonts w:cstheme="minorHAnsi"/>
                <w:lang w:val="lt-LT"/>
              </w:rPr>
            </w:pPr>
            <w:r w:rsidRPr="00437315">
              <w:rPr>
                <w:rFonts w:cstheme="minorHAnsi"/>
                <w:lang w:val="lt-LT"/>
              </w:rPr>
              <w:t>5.2.</w:t>
            </w:r>
          </w:p>
        </w:tc>
        <w:tc>
          <w:tcPr>
            <w:tcW w:w="8755" w:type="dxa"/>
          </w:tcPr>
          <w:p w14:paraId="65DF5852" w14:textId="77777777" w:rsidR="008117CE" w:rsidRPr="00437315" w:rsidRDefault="008117CE" w:rsidP="008117CE">
            <w:pPr>
              <w:jc w:val="both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5</w:t>
            </w:r>
            <w:r w:rsidRPr="00437315">
              <w:rPr>
                <w:rFonts w:cstheme="minorHAnsi"/>
                <w:lang w:val="lt-LT"/>
              </w:rPr>
              <w:t xml:space="preserve"> punkte numatytas paslaugas teikiantis </w:t>
            </w:r>
            <w:r>
              <w:rPr>
                <w:rFonts w:cstheme="minorHAnsi"/>
                <w:lang w:val="lt-LT"/>
              </w:rPr>
              <w:t>konsultantas</w:t>
            </w:r>
            <w:r w:rsidRPr="00437315">
              <w:rPr>
                <w:rFonts w:cstheme="minorHAnsi"/>
                <w:lang w:val="lt-LT"/>
              </w:rPr>
              <w:t xml:space="preserve"> gali būti pakeistas tik tuo atveju, jei atitinka visus 5.1 papunktyje keliamus reikalavimus.</w:t>
            </w:r>
          </w:p>
        </w:tc>
      </w:tr>
      <w:tr w:rsidR="008117CE" w:rsidRPr="00437315" w14:paraId="0846A55D" w14:textId="77777777" w:rsidTr="004525CD">
        <w:tc>
          <w:tcPr>
            <w:tcW w:w="873" w:type="dxa"/>
          </w:tcPr>
          <w:p w14:paraId="3C899F13" w14:textId="77777777" w:rsidR="008117CE" w:rsidRPr="00437315" w:rsidRDefault="008117CE" w:rsidP="008117CE">
            <w:pPr>
              <w:rPr>
                <w:rFonts w:cstheme="minorHAnsi"/>
                <w:b/>
                <w:lang w:val="lt-LT"/>
              </w:rPr>
            </w:pPr>
            <w:r w:rsidRPr="00437315">
              <w:rPr>
                <w:rFonts w:cstheme="minorHAnsi"/>
                <w:b/>
                <w:lang w:val="lt-LT"/>
              </w:rPr>
              <w:t>6.</w:t>
            </w:r>
          </w:p>
        </w:tc>
        <w:tc>
          <w:tcPr>
            <w:tcW w:w="8755" w:type="dxa"/>
          </w:tcPr>
          <w:p w14:paraId="06A8796B" w14:textId="77777777" w:rsidR="008117CE" w:rsidRPr="00437315" w:rsidRDefault="008117CE" w:rsidP="008117CE">
            <w:pPr>
              <w:jc w:val="both"/>
              <w:rPr>
                <w:rFonts w:cstheme="minorHAnsi"/>
                <w:b/>
                <w:lang w:val="lt-LT"/>
              </w:rPr>
            </w:pPr>
            <w:r w:rsidRPr="00437315">
              <w:rPr>
                <w:rFonts w:cstheme="minorHAnsi"/>
                <w:b/>
                <w:lang w:val="lt-LT"/>
              </w:rPr>
              <w:t>SUTARTINIŲ ĮSIPAREIGOJIMŲ VYKDYMO TVARKA IR TERMINAI</w:t>
            </w:r>
          </w:p>
        </w:tc>
      </w:tr>
      <w:tr w:rsidR="008117CE" w:rsidRPr="00437315" w14:paraId="02C519E6" w14:textId="77777777" w:rsidTr="00C94908">
        <w:trPr>
          <w:trHeight w:val="571"/>
        </w:trPr>
        <w:tc>
          <w:tcPr>
            <w:tcW w:w="873" w:type="dxa"/>
          </w:tcPr>
          <w:p w14:paraId="194289B3" w14:textId="77777777" w:rsidR="008117CE" w:rsidRPr="00437315" w:rsidRDefault="008117CE" w:rsidP="008117CE">
            <w:pPr>
              <w:rPr>
                <w:rFonts w:cstheme="minorHAnsi"/>
                <w:lang w:val="lt-LT"/>
              </w:rPr>
            </w:pPr>
            <w:r w:rsidRPr="00437315">
              <w:rPr>
                <w:rFonts w:cstheme="minorHAnsi"/>
                <w:lang w:val="lt-LT"/>
              </w:rPr>
              <w:t>6.1.</w:t>
            </w:r>
          </w:p>
        </w:tc>
        <w:tc>
          <w:tcPr>
            <w:tcW w:w="8755" w:type="dxa"/>
          </w:tcPr>
          <w:p w14:paraId="28A95240" w14:textId="77777777" w:rsidR="00E443A0" w:rsidRDefault="008117CE" w:rsidP="00B04A60">
            <w:pPr>
              <w:jc w:val="both"/>
              <w:rPr>
                <w:rFonts w:cstheme="minorHAnsi"/>
                <w:lang w:val="lt-LT"/>
              </w:rPr>
            </w:pPr>
            <w:r w:rsidRPr="00437315">
              <w:rPr>
                <w:rFonts w:cstheme="minorHAnsi"/>
                <w:lang w:val="lt-LT"/>
              </w:rPr>
              <w:t xml:space="preserve">Su Paslaugos tiekėju </w:t>
            </w:r>
            <w:r w:rsidR="008B2F42" w:rsidRPr="00293C47">
              <w:rPr>
                <w:rFonts w:cstheme="minorHAnsi"/>
                <w:lang w:val="lt-LT"/>
              </w:rPr>
              <w:t>sudaroma sutartis iki 2020 m. rugpjūčio 15 d.</w:t>
            </w:r>
            <w:r w:rsidR="00293C47" w:rsidRPr="00293C47">
              <w:rPr>
                <w:rFonts w:cstheme="minorHAnsi"/>
                <w:lang w:val="lt-LT"/>
              </w:rPr>
              <w:t xml:space="preserve"> </w:t>
            </w:r>
            <w:r w:rsidRPr="00437315">
              <w:rPr>
                <w:rFonts w:cstheme="minorHAnsi"/>
                <w:lang w:val="lt-LT"/>
              </w:rPr>
              <w:t xml:space="preserve">Sutartis turi būti sudaryta ne vėliau kaip </w:t>
            </w:r>
            <w:r w:rsidR="008B2F42" w:rsidRPr="00293C47">
              <w:rPr>
                <w:rFonts w:cstheme="minorHAnsi"/>
                <w:lang w:val="lt-LT"/>
              </w:rPr>
              <w:t>iki 2019 m. kovo 8 d.</w:t>
            </w:r>
            <w:r w:rsidRPr="00437315">
              <w:rPr>
                <w:rFonts w:cstheme="minorHAnsi"/>
                <w:lang w:val="lt-LT"/>
              </w:rPr>
              <w:t xml:space="preserve">  </w:t>
            </w:r>
            <w:bookmarkStart w:id="0" w:name="_GoBack"/>
            <w:bookmarkEnd w:id="0"/>
          </w:p>
        </w:tc>
      </w:tr>
      <w:tr w:rsidR="008117CE" w:rsidRPr="00437315" w14:paraId="0D17A83B" w14:textId="77777777" w:rsidTr="004525CD">
        <w:trPr>
          <w:trHeight w:val="701"/>
        </w:trPr>
        <w:tc>
          <w:tcPr>
            <w:tcW w:w="873" w:type="dxa"/>
          </w:tcPr>
          <w:p w14:paraId="5E7F4C51" w14:textId="77777777" w:rsidR="008117CE" w:rsidRPr="00437315" w:rsidRDefault="008117CE" w:rsidP="008117CE">
            <w:pPr>
              <w:rPr>
                <w:rFonts w:cstheme="minorHAnsi"/>
                <w:lang w:val="lt-LT"/>
              </w:rPr>
            </w:pPr>
            <w:r w:rsidRPr="00437315">
              <w:rPr>
                <w:rFonts w:cstheme="minorHAnsi"/>
                <w:lang w:val="lt-LT"/>
              </w:rPr>
              <w:t>6.2.</w:t>
            </w:r>
          </w:p>
        </w:tc>
        <w:tc>
          <w:tcPr>
            <w:tcW w:w="8755" w:type="dxa"/>
          </w:tcPr>
          <w:p w14:paraId="549FAF5F" w14:textId="77777777" w:rsidR="008117CE" w:rsidRPr="00437315" w:rsidRDefault="008117CE" w:rsidP="008117CE">
            <w:pPr>
              <w:jc w:val="both"/>
              <w:rPr>
                <w:rFonts w:cstheme="minorHAnsi"/>
                <w:lang w:val="lt-LT"/>
              </w:rPr>
            </w:pPr>
            <w:r w:rsidRPr="00437315">
              <w:rPr>
                <w:rFonts w:cstheme="minorHAnsi"/>
                <w:lang w:val="lt-LT"/>
              </w:rPr>
              <w:t xml:space="preserve">Už faktiškai suteiktas paslaugas Paslaugų Teikėjas per 5 d. d. nuo Paslaugos suteikimo dienos pateikia Perkančiajai organizacijai PVM sąskaitą faktūrą. Perkančioji organizacija PVM sąskaitą faktūrą apmoka ne vėliau kaip per 30 (trisdešimt) kalendorinių dienų nuo PVM sąskaitos faktūros gavimo dienos. </w:t>
            </w:r>
          </w:p>
        </w:tc>
      </w:tr>
    </w:tbl>
    <w:p w14:paraId="5F9D954E" w14:textId="77777777" w:rsidR="003A24DA" w:rsidRPr="00437315" w:rsidRDefault="003A24DA">
      <w:pPr>
        <w:rPr>
          <w:rFonts w:cstheme="minorHAnsi"/>
        </w:rPr>
      </w:pPr>
    </w:p>
    <w:p w14:paraId="3B75C22E" w14:textId="77777777" w:rsidR="00C94908" w:rsidRPr="00437315" w:rsidRDefault="00C94908" w:rsidP="00C94908">
      <w:pPr>
        <w:jc w:val="center"/>
        <w:rPr>
          <w:rFonts w:cstheme="minorHAnsi"/>
        </w:rPr>
      </w:pPr>
      <w:r w:rsidRPr="00437315">
        <w:rPr>
          <w:rFonts w:cstheme="minorHAnsi"/>
        </w:rPr>
        <w:t>____________________</w:t>
      </w:r>
    </w:p>
    <w:sectPr w:rsidR="00C94908" w:rsidRPr="00437315" w:rsidSect="00930F8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9ACF18" w16cid:durableId="20193E3C"/>
  <w16cid:commentId w16cid:paraId="608DAC88" w16cid:durableId="20194B13"/>
  <w16cid:commentId w16cid:paraId="540AF139" w16cid:durableId="20194F27"/>
  <w16cid:commentId w16cid:paraId="72E4C39B" w16cid:durableId="20194EA1"/>
  <w16cid:commentId w16cid:paraId="583C1ADC" w16cid:durableId="20194D5F"/>
  <w16cid:commentId w16cid:paraId="7008B434" w16cid:durableId="20194E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169F"/>
    <w:multiLevelType w:val="hybridMultilevel"/>
    <w:tmpl w:val="3A6EF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5D9E"/>
    <w:multiLevelType w:val="multilevel"/>
    <w:tmpl w:val="A14C53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A7363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121D0E"/>
    <w:multiLevelType w:val="hybridMultilevel"/>
    <w:tmpl w:val="7E421DA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6296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686CF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33"/>
    <w:rsid w:val="000000DC"/>
    <w:rsid w:val="00010AD3"/>
    <w:rsid w:val="00012404"/>
    <w:rsid w:val="0003380F"/>
    <w:rsid w:val="00096CEB"/>
    <w:rsid w:val="000A17CF"/>
    <w:rsid w:val="000A2B55"/>
    <w:rsid w:val="000C1899"/>
    <w:rsid w:val="000D1BA6"/>
    <w:rsid w:val="000D7A0F"/>
    <w:rsid w:val="000E1FAD"/>
    <w:rsid w:val="000E2564"/>
    <w:rsid w:val="00101E07"/>
    <w:rsid w:val="00106296"/>
    <w:rsid w:val="001208C8"/>
    <w:rsid w:val="001217AF"/>
    <w:rsid w:val="00123B52"/>
    <w:rsid w:val="0013360E"/>
    <w:rsid w:val="00147A6A"/>
    <w:rsid w:val="00151419"/>
    <w:rsid w:val="00152151"/>
    <w:rsid w:val="00153E16"/>
    <w:rsid w:val="0016757B"/>
    <w:rsid w:val="00173993"/>
    <w:rsid w:val="00191F7E"/>
    <w:rsid w:val="001C3C0C"/>
    <w:rsid w:val="001D3D26"/>
    <w:rsid w:val="001D57D6"/>
    <w:rsid w:val="001F47FF"/>
    <w:rsid w:val="002007DB"/>
    <w:rsid w:val="00200AC0"/>
    <w:rsid w:val="00210C88"/>
    <w:rsid w:val="00263C7E"/>
    <w:rsid w:val="00277D0C"/>
    <w:rsid w:val="00284244"/>
    <w:rsid w:val="00293C47"/>
    <w:rsid w:val="002F193F"/>
    <w:rsid w:val="0030308E"/>
    <w:rsid w:val="00336E33"/>
    <w:rsid w:val="00344C6D"/>
    <w:rsid w:val="003833AD"/>
    <w:rsid w:val="00396302"/>
    <w:rsid w:val="003A24DA"/>
    <w:rsid w:val="003A378A"/>
    <w:rsid w:val="003D1AC2"/>
    <w:rsid w:val="003D3BB8"/>
    <w:rsid w:val="003E0DC6"/>
    <w:rsid w:val="004109A2"/>
    <w:rsid w:val="00413B71"/>
    <w:rsid w:val="004153BB"/>
    <w:rsid w:val="0041765B"/>
    <w:rsid w:val="00437315"/>
    <w:rsid w:val="00437A34"/>
    <w:rsid w:val="004525CD"/>
    <w:rsid w:val="00462B1C"/>
    <w:rsid w:val="00467254"/>
    <w:rsid w:val="00467D7B"/>
    <w:rsid w:val="00482BCB"/>
    <w:rsid w:val="004A13B1"/>
    <w:rsid w:val="004A2346"/>
    <w:rsid w:val="004C1C5E"/>
    <w:rsid w:val="004C5354"/>
    <w:rsid w:val="004C5B4C"/>
    <w:rsid w:val="004D6431"/>
    <w:rsid w:val="0050182C"/>
    <w:rsid w:val="00504C81"/>
    <w:rsid w:val="005060F8"/>
    <w:rsid w:val="005121AA"/>
    <w:rsid w:val="00524B22"/>
    <w:rsid w:val="0055284A"/>
    <w:rsid w:val="00552F1D"/>
    <w:rsid w:val="00566C77"/>
    <w:rsid w:val="00570250"/>
    <w:rsid w:val="00574F0F"/>
    <w:rsid w:val="00582417"/>
    <w:rsid w:val="00586F22"/>
    <w:rsid w:val="00594B6B"/>
    <w:rsid w:val="005A5232"/>
    <w:rsid w:val="005E3AE9"/>
    <w:rsid w:val="005F376B"/>
    <w:rsid w:val="006001BC"/>
    <w:rsid w:val="00600370"/>
    <w:rsid w:val="00601708"/>
    <w:rsid w:val="00606DEF"/>
    <w:rsid w:val="00610C54"/>
    <w:rsid w:val="00610F5D"/>
    <w:rsid w:val="0061188C"/>
    <w:rsid w:val="00613D75"/>
    <w:rsid w:val="006510D6"/>
    <w:rsid w:val="006973C2"/>
    <w:rsid w:val="006D21B5"/>
    <w:rsid w:val="006F0624"/>
    <w:rsid w:val="006F3B50"/>
    <w:rsid w:val="00704612"/>
    <w:rsid w:val="007111CE"/>
    <w:rsid w:val="0072296C"/>
    <w:rsid w:val="007548D1"/>
    <w:rsid w:val="007624BF"/>
    <w:rsid w:val="0078542B"/>
    <w:rsid w:val="007A780B"/>
    <w:rsid w:val="007C693A"/>
    <w:rsid w:val="007D2695"/>
    <w:rsid w:val="007E153F"/>
    <w:rsid w:val="00805F93"/>
    <w:rsid w:val="00810937"/>
    <w:rsid w:val="008117CE"/>
    <w:rsid w:val="008455F7"/>
    <w:rsid w:val="008466AC"/>
    <w:rsid w:val="00891033"/>
    <w:rsid w:val="008971FF"/>
    <w:rsid w:val="008B2F42"/>
    <w:rsid w:val="008C7491"/>
    <w:rsid w:val="00930F84"/>
    <w:rsid w:val="0094779C"/>
    <w:rsid w:val="009568C8"/>
    <w:rsid w:val="009571CF"/>
    <w:rsid w:val="00965BD4"/>
    <w:rsid w:val="00982344"/>
    <w:rsid w:val="0099023C"/>
    <w:rsid w:val="009A061D"/>
    <w:rsid w:val="009B3A68"/>
    <w:rsid w:val="009B6813"/>
    <w:rsid w:val="009D16C7"/>
    <w:rsid w:val="009E32C3"/>
    <w:rsid w:val="00A032A4"/>
    <w:rsid w:val="00A41C3F"/>
    <w:rsid w:val="00A54008"/>
    <w:rsid w:val="00A553C9"/>
    <w:rsid w:val="00A55AC1"/>
    <w:rsid w:val="00A60A12"/>
    <w:rsid w:val="00A65486"/>
    <w:rsid w:val="00A76214"/>
    <w:rsid w:val="00A822B8"/>
    <w:rsid w:val="00A8232F"/>
    <w:rsid w:val="00A8670E"/>
    <w:rsid w:val="00A9252D"/>
    <w:rsid w:val="00AB1578"/>
    <w:rsid w:val="00AB544F"/>
    <w:rsid w:val="00AB683D"/>
    <w:rsid w:val="00AD2E23"/>
    <w:rsid w:val="00AD4DE9"/>
    <w:rsid w:val="00AE780F"/>
    <w:rsid w:val="00AF4D8F"/>
    <w:rsid w:val="00B04A60"/>
    <w:rsid w:val="00B065FB"/>
    <w:rsid w:val="00B12A73"/>
    <w:rsid w:val="00B1477C"/>
    <w:rsid w:val="00B15496"/>
    <w:rsid w:val="00B2671F"/>
    <w:rsid w:val="00B2759F"/>
    <w:rsid w:val="00B5150E"/>
    <w:rsid w:val="00B91F65"/>
    <w:rsid w:val="00BC0DB1"/>
    <w:rsid w:val="00BF0790"/>
    <w:rsid w:val="00BF1980"/>
    <w:rsid w:val="00BF66DE"/>
    <w:rsid w:val="00C00B6E"/>
    <w:rsid w:val="00C32DA2"/>
    <w:rsid w:val="00C5524A"/>
    <w:rsid w:val="00C6775F"/>
    <w:rsid w:val="00C9261C"/>
    <w:rsid w:val="00C94908"/>
    <w:rsid w:val="00C974CC"/>
    <w:rsid w:val="00CA0D1F"/>
    <w:rsid w:val="00CA3E1C"/>
    <w:rsid w:val="00CB4EEA"/>
    <w:rsid w:val="00CE3452"/>
    <w:rsid w:val="00CF3843"/>
    <w:rsid w:val="00D02EE1"/>
    <w:rsid w:val="00D03429"/>
    <w:rsid w:val="00D03827"/>
    <w:rsid w:val="00D20B5E"/>
    <w:rsid w:val="00D21A53"/>
    <w:rsid w:val="00D23144"/>
    <w:rsid w:val="00D37046"/>
    <w:rsid w:val="00D47114"/>
    <w:rsid w:val="00D76EDB"/>
    <w:rsid w:val="00D87147"/>
    <w:rsid w:val="00DB5703"/>
    <w:rsid w:val="00DE07F9"/>
    <w:rsid w:val="00DF3C65"/>
    <w:rsid w:val="00DF690E"/>
    <w:rsid w:val="00E02758"/>
    <w:rsid w:val="00E04F88"/>
    <w:rsid w:val="00E13112"/>
    <w:rsid w:val="00E443A0"/>
    <w:rsid w:val="00E52108"/>
    <w:rsid w:val="00E636AD"/>
    <w:rsid w:val="00E70C08"/>
    <w:rsid w:val="00EC0115"/>
    <w:rsid w:val="00EC2187"/>
    <w:rsid w:val="00EC3B03"/>
    <w:rsid w:val="00EC6BE7"/>
    <w:rsid w:val="00EF0204"/>
    <w:rsid w:val="00EF0DAC"/>
    <w:rsid w:val="00EF10E1"/>
    <w:rsid w:val="00EF6ABB"/>
    <w:rsid w:val="00F03BA4"/>
    <w:rsid w:val="00F075B9"/>
    <w:rsid w:val="00F310A8"/>
    <w:rsid w:val="00F45AF3"/>
    <w:rsid w:val="00FD3032"/>
    <w:rsid w:val="00FF274E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B5F1"/>
  <w15:docId w15:val="{23A02053-54E3-4936-AE9B-292A724B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A24DA"/>
    <w:rPr>
      <w:color w:val="0000FF"/>
      <w:u w:val="single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Heading 10,List not in Table"/>
    <w:basedOn w:val="Normal"/>
    <w:link w:val="ListParagraphChar"/>
    <w:uiPriority w:val="34"/>
    <w:qFormat/>
    <w:rsid w:val="003A24DA"/>
    <w:pPr>
      <w:spacing w:after="0" w:line="240" w:lineRule="auto"/>
      <w:ind w:left="720"/>
      <w:contextualSpacing/>
      <w:jc w:val="both"/>
    </w:pPr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D37046"/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pildymui">
    <w:name w:val="pildymui"/>
    <w:basedOn w:val="DefaultParagraphFont"/>
    <w:rsid w:val="00BF1980"/>
  </w:style>
  <w:style w:type="character" w:styleId="CommentReference">
    <w:name w:val="annotation reference"/>
    <w:basedOn w:val="DefaultParagraphFont"/>
    <w:uiPriority w:val="99"/>
    <w:semiHidden/>
    <w:unhideWhenUsed/>
    <w:rsid w:val="00704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6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3D7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722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62D6A-BF6E-4C1B-B1FF-68B603E5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Uponor Corporation</Company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Lidija Leus-Venzlauskiene</dc:creator>
  <cp:lastModifiedBy>Agne Virsilaite</cp:lastModifiedBy>
  <cp:revision>27</cp:revision>
  <cp:lastPrinted>2019-02-11T13:28:00Z</cp:lastPrinted>
  <dcterms:created xsi:type="dcterms:W3CDTF">2019-02-19T10:41:00Z</dcterms:created>
  <dcterms:modified xsi:type="dcterms:W3CDTF">2019-02-22T13:46:00Z</dcterms:modified>
</cp:coreProperties>
</file>