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FB746" w14:textId="49A7A5EB" w:rsidR="001B0C9A" w:rsidRPr="001D28CF" w:rsidRDefault="00EE4104" w:rsidP="008E20B1">
      <w:pPr>
        <w:jc w:val="center"/>
        <w:rPr>
          <w:b/>
          <w:sz w:val="24"/>
          <w:szCs w:val="24"/>
        </w:rPr>
      </w:pPr>
      <w:r>
        <w:rPr>
          <w:noProof/>
          <w:lang w:val="lt-LT" w:eastAsia="lt-LT"/>
        </w:rPr>
        <w:drawing>
          <wp:anchor distT="0" distB="0" distL="114300" distR="114300" simplePos="0" relativeHeight="251659264" behindDoc="1" locked="0" layoutInCell="1" allowOverlap="1" wp14:anchorId="61C27DD3" wp14:editId="15EDCFDC">
            <wp:simplePos x="0" y="0"/>
            <wp:positionH relativeFrom="column">
              <wp:posOffset>-480695</wp:posOffset>
            </wp:positionH>
            <wp:positionV relativeFrom="paragraph">
              <wp:posOffset>-680720</wp:posOffset>
            </wp:positionV>
            <wp:extent cx="1314450" cy="13144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hemiPharm_CmpctLogo_PosBlue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43EC" w:rsidRPr="001D28CF">
        <w:rPr>
          <w:b/>
          <w:noProof/>
          <w:sz w:val="24"/>
          <w:szCs w:val="24"/>
          <w:lang w:val="lt-LT" w:eastAsia="lt-LT"/>
        </w:rPr>
        <w:drawing>
          <wp:anchor distT="0" distB="0" distL="114300" distR="114300" simplePos="0" relativeHeight="251658240" behindDoc="1" locked="0" layoutInCell="1" allowOverlap="1" wp14:anchorId="615AACA6" wp14:editId="5E76048B">
            <wp:simplePos x="0" y="0"/>
            <wp:positionH relativeFrom="column">
              <wp:posOffset>5929630</wp:posOffset>
            </wp:positionH>
            <wp:positionV relativeFrom="paragraph">
              <wp:posOffset>-775970</wp:posOffset>
            </wp:positionV>
            <wp:extent cx="612775" cy="9641909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kk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96419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5CF4FC" w14:textId="7883F00A" w:rsidR="00C96369" w:rsidRPr="00C96369" w:rsidRDefault="00C96369" w:rsidP="00C96369">
      <w:pPr>
        <w:autoSpaceDE w:val="0"/>
        <w:autoSpaceDN w:val="0"/>
        <w:adjustRightInd w:val="0"/>
        <w:spacing w:after="0" w:line="240" w:lineRule="auto"/>
        <w:rPr>
          <w:rFonts w:ascii="Blender Pro" w:hAnsi="Blender Pro" w:cs="Blender Pro"/>
          <w:color w:val="000000"/>
          <w:sz w:val="24"/>
          <w:szCs w:val="24"/>
          <w:lang w:val="lt-LT"/>
        </w:rPr>
      </w:pPr>
    </w:p>
    <w:p w14:paraId="122F30C1" w14:textId="2E42EE00" w:rsidR="00C96369" w:rsidRPr="00C96369" w:rsidRDefault="00C96369" w:rsidP="00C96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40"/>
          <w:szCs w:val="40"/>
          <w:lang w:val="lt-LT"/>
        </w:rPr>
      </w:pPr>
      <w:r>
        <w:rPr>
          <w:rFonts w:ascii="Blender Pro" w:hAnsi="Blender Pro" w:cs="Blender Pro"/>
          <w:color w:val="000000"/>
          <w:sz w:val="24"/>
          <w:szCs w:val="24"/>
          <w:lang w:val="lt-LT"/>
        </w:rPr>
        <w:t xml:space="preserve">                                                 </w:t>
      </w:r>
      <w:r w:rsidRPr="00C96369">
        <w:rPr>
          <w:rFonts w:ascii="Blender Pro" w:hAnsi="Blender Pro" w:cs="Blender Pro"/>
          <w:color w:val="000000"/>
          <w:sz w:val="24"/>
          <w:szCs w:val="24"/>
          <w:lang w:val="lt-LT"/>
        </w:rPr>
        <w:t xml:space="preserve"> </w:t>
      </w:r>
      <w:r w:rsidRPr="00C96369">
        <w:rPr>
          <w:rFonts w:ascii="Times New Roman" w:hAnsi="Times New Roman" w:cs="Times New Roman"/>
          <w:color w:val="000000"/>
          <w:sz w:val="40"/>
          <w:szCs w:val="40"/>
          <w:lang w:val="lt-LT"/>
        </w:rPr>
        <w:t xml:space="preserve">CHEMISEPT G </w:t>
      </w:r>
    </w:p>
    <w:p w14:paraId="2375C7EF" w14:textId="79558F79" w:rsidR="00C96369" w:rsidRDefault="00C96369" w:rsidP="00C96369">
      <w:pPr>
        <w:autoSpaceDE w:val="0"/>
        <w:autoSpaceDN w:val="0"/>
        <w:adjustRightInd w:val="0"/>
        <w:spacing w:after="0" w:line="240" w:lineRule="auto"/>
        <w:rPr>
          <w:rFonts w:ascii="Blender Pro" w:hAnsi="Blender Pro" w:cs="Blender Pro"/>
          <w:color w:val="000000"/>
          <w:sz w:val="40"/>
          <w:szCs w:val="40"/>
          <w:lang w:val="lt-LT"/>
        </w:rPr>
      </w:pPr>
      <w:r w:rsidRPr="00C96369">
        <w:rPr>
          <w:rFonts w:ascii="Times New Roman" w:hAnsi="Times New Roman" w:cs="Times New Roman"/>
          <w:color w:val="000000"/>
          <w:sz w:val="40"/>
          <w:szCs w:val="40"/>
          <w:lang w:val="lt-LT"/>
        </w:rPr>
        <w:t xml:space="preserve">                 </w:t>
      </w:r>
      <w:r>
        <w:rPr>
          <w:rFonts w:ascii="Times New Roman" w:hAnsi="Times New Roman" w:cs="Times New Roman"/>
          <w:color w:val="000000"/>
          <w:sz w:val="40"/>
          <w:szCs w:val="40"/>
          <w:lang w:val="lt-LT"/>
        </w:rPr>
        <w:t xml:space="preserve">     </w:t>
      </w:r>
      <w:r w:rsidRPr="00C96369">
        <w:rPr>
          <w:rFonts w:ascii="Times New Roman" w:hAnsi="Times New Roman" w:cs="Times New Roman"/>
          <w:color w:val="000000"/>
          <w:sz w:val="40"/>
          <w:szCs w:val="40"/>
          <w:lang w:val="lt-LT"/>
        </w:rPr>
        <w:t xml:space="preserve"> Alkoholinis odos antiseptikas</w:t>
      </w:r>
      <w:r w:rsidRPr="00C96369">
        <w:rPr>
          <w:rFonts w:ascii="Blender Pro" w:hAnsi="Blender Pro" w:cs="Blender Pro"/>
          <w:color w:val="000000"/>
          <w:sz w:val="40"/>
          <w:szCs w:val="40"/>
          <w:lang w:val="lt-LT"/>
        </w:rPr>
        <w:t xml:space="preserve"> </w:t>
      </w:r>
    </w:p>
    <w:p w14:paraId="170226E1" w14:textId="58A094B5" w:rsidR="00C96369" w:rsidRPr="00C96369" w:rsidRDefault="00C96369" w:rsidP="00C96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C96369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• Nedirgina odos </w:t>
      </w:r>
    </w:p>
    <w:p w14:paraId="489A4D85" w14:textId="77777777" w:rsidR="00C96369" w:rsidRPr="00C96369" w:rsidRDefault="00C96369" w:rsidP="00C96369">
      <w:pPr>
        <w:autoSpaceDE w:val="0"/>
        <w:autoSpaceDN w:val="0"/>
        <w:adjustRightInd w:val="0"/>
        <w:spacing w:after="23" w:line="240" w:lineRule="auto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C96369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• Greitas ir ilgalaikis poveikis </w:t>
      </w:r>
    </w:p>
    <w:p w14:paraId="629CC19A" w14:textId="77777777" w:rsidR="00C96369" w:rsidRPr="00C96369" w:rsidRDefault="00C96369" w:rsidP="00C96369">
      <w:pPr>
        <w:autoSpaceDE w:val="0"/>
        <w:autoSpaceDN w:val="0"/>
        <w:adjustRightInd w:val="0"/>
        <w:spacing w:after="23" w:line="240" w:lineRule="auto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C96369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• Platus mikrobiologinis efektyvumas </w:t>
      </w:r>
    </w:p>
    <w:p w14:paraId="32BC2C6E" w14:textId="4B66304F" w:rsidR="00C96369" w:rsidRDefault="00C96369" w:rsidP="00C96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  <w:r w:rsidRPr="00C96369">
        <w:rPr>
          <w:rFonts w:ascii="Times New Roman" w:hAnsi="Times New Roman" w:cs="Times New Roman"/>
          <w:color w:val="000000"/>
          <w:sz w:val="24"/>
          <w:szCs w:val="24"/>
          <w:lang w:val="lt-LT"/>
        </w:rPr>
        <w:t xml:space="preserve">• Naikina visus apvalkalėtuosius virusus </w:t>
      </w:r>
    </w:p>
    <w:p w14:paraId="2A5828A2" w14:textId="77777777" w:rsidR="000C1B2A" w:rsidRPr="00C96369" w:rsidRDefault="000C1B2A" w:rsidP="00C963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lt-LT"/>
        </w:rPr>
      </w:pPr>
    </w:p>
    <w:p w14:paraId="3C7B01D6" w14:textId="67620A28" w:rsidR="00C96369" w:rsidRPr="00C96369" w:rsidRDefault="00C96369" w:rsidP="00C96369">
      <w:pPr>
        <w:pStyle w:val="Default"/>
        <w:jc w:val="both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 Chemisept G –tai etanolio pagrindu pagamintas bespalvis antiseptikas, naudojamas prieš chirurgines procedūras, injekcijas ir punkcijas. Taip pat tinkamas priešoperacinei odos antiseptikai. </w:t>
      </w:r>
    </w:p>
    <w:p w14:paraId="56023B65" w14:textId="77777777" w:rsidR="00C96369" w:rsidRPr="00C96369" w:rsidRDefault="00C96369" w:rsidP="00C96369">
      <w:pPr>
        <w:pStyle w:val="Default"/>
        <w:jc w:val="both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Chemisept G būdingas platus baktericidinis, tuberkulocidinis (įsk. Mycobacterium terrae), virucidinis (įsk. HBV, HIV, HCV, Vaccinia, Herpes simplex, Rota, Adeno) poveikis, taip pat veiksmingai naikinamos mielės. </w:t>
      </w:r>
    </w:p>
    <w:p w14:paraId="6B6045C8" w14:textId="77777777" w:rsidR="00C96369" w:rsidRPr="00C96369" w:rsidRDefault="00C96369" w:rsidP="00C96369">
      <w:pPr>
        <w:pStyle w:val="Default"/>
        <w:jc w:val="both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>Produktui taip pat būdingas ilgalaikis antimikrobinis poveikis –panaudojus produkto, bent 3 valandas išlieka nepalanki terpė mikrobams augti. Produkto sudėtyje nėra dažų, todėl jis tinkamas kosmetikoms procedūroms.</w:t>
      </w:r>
    </w:p>
    <w:p w14:paraId="2EAD6490" w14:textId="78E7B038" w:rsidR="00C96369" w:rsidRPr="00C96369" w:rsidRDefault="00C96369" w:rsidP="00C96369">
      <w:pPr>
        <w:pStyle w:val="Default"/>
        <w:jc w:val="both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 </w:t>
      </w:r>
    </w:p>
    <w:p w14:paraId="0B2D185F" w14:textId="4EF85008" w:rsidR="00C96369" w:rsidRPr="00C96369" w:rsidRDefault="00C96369" w:rsidP="00C96369">
      <w:pPr>
        <w:jc w:val="both"/>
        <w:rPr>
          <w:rFonts w:ascii="Times New Roman" w:hAnsi="Times New Roman" w:cs="Times New Roman"/>
          <w:sz w:val="24"/>
          <w:szCs w:val="24"/>
        </w:rPr>
      </w:pPr>
      <w:r w:rsidRPr="00C96369">
        <w:rPr>
          <w:rFonts w:ascii="Times New Roman" w:hAnsi="Times New Roman" w:cs="Times New Roman"/>
          <w:sz w:val="24"/>
          <w:szCs w:val="24"/>
        </w:rPr>
        <w:t>NAUDOJIMO SRITYS</w:t>
      </w:r>
    </w:p>
    <w:p w14:paraId="5C0CA67D" w14:textId="77777777" w:rsidR="00C96369" w:rsidRPr="00C96369" w:rsidRDefault="00C96369" w:rsidP="00C96369">
      <w:pPr>
        <w:pStyle w:val="Default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 Chemisept G daugiausia naudojamas ligoninėse ir kitose medicinos įstaigose. Taip pat tinka naudoti grožio klinikose ir kosmetikos salonuose. </w:t>
      </w:r>
    </w:p>
    <w:p w14:paraId="6C5BE92B" w14:textId="77777777" w:rsidR="00C96369" w:rsidRPr="00C96369" w:rsidRDefault="00C96369" w:rsidP="00C96369">
      <w:pPr>
        <w:pStyle w:val="Default"/>
        <w:spacing w:after="20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• Odos antiseptika prieš chirurgines procedūras, injekcijas ir punkcijas </w:t>
      </w:r>
    </w:p>
    <w:p w14:paraId="1D0CF5B5" w14:textId="77777777" w:rsidR="00C96369" w:rsidRPr="00C96369" w:rsidRDefault="00C96369" w:rsidP="00C96369">
      <w:pPr>
        <w:pStyle w:val="Default"/>
        <w:spacing w:after="20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• Priešoperacinė odos antiseptika </w:t>
      </w:r>
    </w:p>
    <w:p w14:paraId="153AE790" w14:textId="77777777" w:rsidR="00C96369" w:rsidRPr="00C96369" w:rsidRDefault="00C96369" w:rsidP="00C96369">
      <w:pPr>
        <w:pStyle w:val="Default"/>
        <w:spacing w:after="20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• Kraujo paėmimo procedūra </w:t>
      </w:r>
    </w:p>
    <w:p w14:paraId="0FD24BBE" w14:textId="77777777" w:rsidR="00C96369" w:rsidRPr="00C96369" w:rsidRDefault="00C96369" w:rsidP="00C96369">
      <w:pPr>
        <w:pStyle w:val="Default"/>
        <w:spacing w:after="20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• Kanuliacija ir kateterizacija </w:t>
      </w:r>
    </w:p>
    <w:p w14:paraId="11B075FE" w14:textId="77777777" w:rsidR="00C96369" w:rsidRPr="00C96369" w:rsidRDefault="00C96369" w:rsidP="00C96369">
      <w:pPr>
        <w:pStyle w:val="Default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• Odos antiseptika prieš chirurgines procedūras </w:t>
      </w:r>
    </w:p>
    <w:p w14:paraId="39AB4D11" w14:textId="77777777" w:rsidR="00C96369" w:rsidRPr="00C96369" w:rsidRDefault="00C96369" w:rsidP="00C96369">
      <w:pPr>
        <w:pStyle w:val="Default"/>
        <w:rPr>
          <w:rFonts w:ascii="Times New Roman" w:hAnsi="Times New Roman" w:cs="Times New Roman"/>
        </w:rPr>
      </w:pPr>
    </w:p>
    <w:p w14:paraId="7BB85D10" w14:textId="77777777" w:rsidR="00C96369" w:rsidRPr="00C96369" w:rsidRDefault="00C96369" w:rsidP="00C96369">
      <w:pPr>
        <w:pStyle w:val="Default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NAUDOJIMAS </w:t>
      </w:r>
    </w:p>
    <w:p w14:paraId="6AD7317C" w14:textId="77777777" w:rsidR="00C96369" w:rsidRPr="00C96369" w:rsidRDefault="00C96369" w:rsidP="00C96369">
      <w:pPr>
        <w:pStyle w:val="Default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Chemisept G yra paruoštas naudoti. Jį galima ant odos purkšti arba užtepti tamponu. </w:t>
      </w:r>
    </w:p>
    <w:p w14:paraId="5C9259DB" w14:textId="77777777" w:rsidR="00C96369" w:rsidRPr="00C96369" w:rsidRDefault="00C96369" w:rsidP="00C96369">
      <w:pPr>
        <w:pStyle w:val="Default"/>
        <w:rPr>
          <w:rFonts w:ascii="Times New Roman" w:hAnsi="Times New Roman" w:cs="Times New Roman"/>
          <w:b/>
        </w:rPr>
      </w:pPr>
      <w:r w:rsidRPr="00C96369">
        <w:rPr>
          <w:rFonts w:ascii="Times New Roman" w:hAnsi="Times New Roman" w:cs="Times New Roman"/>
          <w:b/>
        </w:rPr>
        <w:t xml:space="preserve">Odos antiseptika prieš injekcijas ir kraujo paėmimo procedūras </w:t>
      </w:r>
    </w:p>
    <w:p w14:paraId="758E117A" w14:textId="50EA2441" w:rsidR="00C96369" w:rsidRDefault="00C96369" w:rsidP="00C96369">
      <w:pPr>
        <w:pStyle w:val="Default"/>
        <w:rPr>
          <w:rFonts w:ascii="Times New Roman" w:hAnsi="Times New Roman" w:cs="Times New Roman"/>
        </w:rPr>
      </w:pPr>
      <w:r w:rsidRPr="00C96369">
        <w:rPr>
          <w:rFonts w:ascii="Times New Roman" w:hAnsi="Times New Roman" w:cs="Times New Roman"/>
        </w:rPr>
        <w:t xml:space="preserve">Ant atitinkamos odos srities užpurkškite pakankamai antiseptiko Chemisept G arba įtrinkite odą tirpale sumirkytu tamponu. Oda turi gerai sušlapti, o tada leiskite tirpalui nudžiūti. Poveikio trukmė –30 sekundžių. </w:t>
      </w:r>
    </w:p>
    <w:p w14:paraId="417DC23B" w14:textId="77777777" w:rsidR="003A2620" w:rsidRPr="00C96369" w:rsidRDefault="003A2620" w:rsidP="00C96369">
      <w:pPr>
        <w:pStyle w:val="Default"/>
        <w:rPr>
          <w:rFonts w:ascii="Times New Roman" w:hAnsi="Times New Roman" w:cs="Times New Roman"/>
        </w:rPr>
      </w:pPr>
    </w:p>
    <w:p w14:paraId="66417D3D" w14:textId="77777777" w:rsidR="00C96369" w:rsidRPr="00C96369" w:rsidRDefault="00C96369" w:rsidP="00C96369">
      <w:pPr>
        <w:pStyle w:val="Default"/>
        <w:rPr>
          <w:rFonts w:ascii="Times New Roman" w:hAnsi="Times New Roman" w:cs="Times New Roman"/>
          <w:b/>
        </w:rPr>
      </w:pPr>
      <w:r w:rsidRPr="00C96369">
        <w:rPr>
          <w:rFonts w:ascii="Times New Roman" w:hAnsi="Times New Roman" w:cs="Times New Roman"/>
          <w:b/>
        </w:rPr>
        <w:t xml:space="preserve">Priešoperacinė odos antiseptika </w:t>
      </w:r>
    </w:p>
    <w:p w14:paraId="4398710B" w14:textId="77777777" w:rsidR="003A2620" w:rsidRPr="003A2620" w:rsidRDefault="00C96369" w:rsidP="003A26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96369">
        <w:rPr>
          <w:rFonts w:ascii="Times New Roman" w:hAnsi="Times New Roman" w:cs="Times New Roman"/>
          <w:sz w:val="24"/>
          <w:szCs w:val="24"/>
        </w:rPr>
        <w:t>Naudodami pincetą, sumirkykite tamponą antiseptiku Chemisept G ir pakankamai jo užtepkite ant operuotinos srities. Oda turi gerai sušlapti, o tada leiskite tirpalui nudžiūti. Operuotina sritis dezinfekuojama du kartus (po 1,5 minutės). Bendra poveikio trukmė –3 minutės. Operacinio pjūvio plėvelę galima klijuoti tik ant sausos odos.</w:t>
      </w:r>
    </w:p>
    <w:p w14:paraId="384B4F05" w14:textId="04181787" w:rsidR="00C96369" w:rsidRPr="003A2620" w:rsidRDefault="00C96369" w:rsidP="00C963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620">
        <w:rPr>
          <w:rFonts w:ascii="Times New Roman" w:hAnsi="Times New Roman" w:cs="Times New Roman"/>
          <w:b/>
          <w:sz w:val="24"/>
          <w:szCs w:val="24"/>
        </w:rPr>
        <w:t xml:space="preserve">Odos antiseptika prieš kanuliaciją, injekciją į sąnarį, punkciją ir artroskopiją </w:t>
      </w:r>
      <w:r w:rsidRPr="00C96369">
        <w:rPr>
          <w:rFonts w:ascii="Times New Roman" w:hAnsi="Times New Roman" w:cs="Times New Roman"/>
          <w:sz w:val="24"/>
          <w:szCs w:val="24"/>
        </w:rPr>
        <w:t>Ant atitinkamos odos srities užpurkškite pakankamai antiseptiko Chemisept G arba įtrinkite odą tirpale sumirkytu tamponu. Tamponu drėkinkite odą 30 sekundžių, kad gerai sušlaptų, o tada palaukite dar 30 sekundžių, kol visiškai nudžius.</w:t>
      </w:r>
    </w:p>
    <w:p w14:paraId="4721F28C" w14:textId="77777777" w:rsidR="003A2620" w:rsidRPr="003A2620" w:rsidRDefault="003A2620" w:rsidP="003A2620">
      <w:pPr>
        <w:autoSpaceDE w:val="0"/>
        <w:autoSpaceDN w:val="0"/>
        <w:adjustRightInd w:val="0"/>
        <w:spacing w:after="0" w:line="240" w:lineRule="auto"/>
        <w:rPr>
          <w:rFonts w:ascii="Blender Pro" w:hAnsi="Blender Pro"/>
          <w:sz w:val="24"/>
          <w:szCs w:val="24"/>
          <w:lang w:val="lt-LT"/>
        </w:rPr>
        <w:sectPr w:rsidR="003A2620" w:rsidRPr="003A2620" w:rsidSect="003A2620">
          <w:pgSz w:w="11906" w:h="17338"/>
          <w:pgMar w:top="1821" w:right="1558" w:bottom="1404" w:left="1020" w:header="567" w:footer="567" w:gutter="0"/>
          <w:cols w:space="1296"/>
          <w:noEndnote/>
        </w:sect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16"/>
        <w:gridCol w:w="3116"/>
        <w:gridCol w:w="3116"/>
      </w:tblGrid>
      <w:tr w:rsidR="003A2620" w:rsidRPr="003A2620" w14:paraId="28A6B717" w14:textId="77777777">
        <w:trPr>
          <w:trHeight w:val="280"/>
        </w:trPr>
        <w:tc>
          <w:tcPr>
            <w:tcW w:w="3116" w:type="dxa"/>
          </w:tcPr>
          <w:p w14:paraId="7C62CE48" w14:textId="0586C9AE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MIKROBIOLOGINIS EFEKTYVUMAS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                       </w:t>
            </w:r>
            <w:r w:rsidRPr="003A262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Odos antiseptika </w:t>
            </w:r>
          </w:p>
        </w:tc>
        <w:tc>
          <w:tcPr>
            <w:tcW w:w="3116" w:type="dxa"/>
          </w:tcPr>
          <w:p w14:paraId="75908FCC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Koncentracija </w:t>
            </w:r>
          </w:p>
        </w:tc>
        <w:tc>
          <w:tcPr>
            <w:tcW w:w="3116" w:type="dxa"/>
          </w:tcPr>
          <w:p w14:paraId="45E977D3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Sąlyčio trukmė </w:t>
            </w:r>
          </w:p>
        </w:tc>
      </w:tr>
      <w:tr w:rsidR="003A2620" w:rsidRPr="003A2620" w14:paraId="1F8CEC47" w14:textId="77777777">
        <w:trPr>
          <w:trHeight w:val="279"/>
        </w:trPr>
        <w:tc>
          <w:tcPr>
            <w:tcW w:w="3116" w:type="dxa"/>
          </w:tcPr>
          <w:p w14:paraId="1ECAB43D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Prieš injekcijas ir kraujo paėmimo procedūras </w:t>
            </w:r>
          </w:p>
        </w:tc>
        <w:tc>
          <w:tcPr>
            <w:tcW w:w="3116" w:type="dxa"/>
          </w:tcPr>
          <w:p w14:paraId="61715B8E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54D236CB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30 sek. </w:t>
            </w:r>
          </w:p>
        </w:tc>
      </w:tr>
      <w:tr w:rsidR="003A2620" w:rsidRPr="003A2620" w14:paraId="608FECD5" w14:textId="77777777">
        <w:trPr>
          <w:trHeight w:val="280"/>
        </w:trPr>
        <w:tc>
          <w:tcPr>
            <w:tcW w:w="3116" w:type="dxa"/>
          </w:tcPr>
          <w:p w14:paraId="7C513429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Prieš kanuliaciją, sąnarių punkciją ir chirurgines procedūras </w:t>
            </w:r>
          </w:p>
        </w:tc>
        <w:tc>
          <w:tcPr>
            <w:tcW w:w="3116" w:type="dxa"/>
          </w:tcPr>
          <w:p w14:paraId="524AF6F7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20F13521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60 sek. </w:t>
            </w:r>
          </w:p>
        </w:tc>
      </w:tr>
      <w:tr w:rsidR="003A2620" w:rsidRPr="003A2620" w14:paraId="4150D937" w14:textId="77777777">
        <w:trPr>
          <w:trHeight w:val="279"/>
        </w:trPr>
        <w:tc>
          <w:tcPr>
            <w:tcW w:w="3116" w:type="dxa"/>
          </w:tcPr>
          <w:p w14:paraId="0C7D89EA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Prieš priešoperacinę odos antiseptiką </w:t>
            </w:r>
          </w:p>
        </w:tc>
        <w:tc>
          <w:tcPr>
            <w:tcW w:w="3116" w:type="dxa"/>
          </w:tcPr>
          <w:p w14:paraId="47208404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45755529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180 sek. </w:t>
            </w:r>
          </w:p>
        </w:tc>
      </w:tr>
      <w:tr w:rsidR="003A2620" w:rsidRPr="003A2620" w14:paraId="32366A28" w14:textId="77777777">
        <w:trPr>
          <w:trHeight w:val="280"/>
        </w:trPr>
        <w:tc>
          <w:tcPr>
            <w:tcW w:w="3116" w:type="dxa"/>
          </w:tcPr>
          <w:p w14:paraId="55A9EC38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Prieš naudojant ant odos, kur daug riebalinių liaukų </w:t>
            </w:r>
          </w:p>
        </w:tc>
        <w:tc>
          <w:tcPr>
            <w:tcW w:w="3116" w:type="dxa"/>
          </w:tcPr>
          <w:p w14:paraId="72D806FE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649138A1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180 sek. </w:t>
            </w:r>
          </w:p>
        </w:tc>
      </w:tr>
      <w:tr w:rsidR="003A2620" w:rsidRPr="003A2620" w14:paraId="0A1BB87E" w14:textId="77777777">
        <w:trPr>
          <w:trHeight w:val="279"/>
        </w:trPr>
        <w:tc>
          <w:tcPr>
            <w:tcW w:w="3116" w:type="dxa"/>
          </w:tcPr>
          <w:p w14:paraId="6C93490F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Escherichia coli </w:t>
            </w:r>
          </w:p>
        </w:tc>
        <w:tc>
          <w:tcPr>
            <w:tcW w:w="3116" w:type="dxa"/>
          </w:tcPr>
          <w:p w14:paraId="6966BE0E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259617CC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15 sek. </w:t>
            </w:r>
          </w:p>
        </w:tc>
      </w:tr>
      <w:tr w:rsidR="003A2620" w:rsidRPr="003A2620" w14:paraId="2EAB21DF" w14:textId="77777777">
        <w:trPr>
          <w:trHeight w:val="280"/>
        </w:trPr>
        <w:tc>
          <w:tcPr>
            <w:tcW w:w="3116" w:type="dxa"/>
          </w:tcPr>
          <w:p w14:paraId="648162E8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Pseudomonas aeruginosa </w:t>
            </w:r>
          </w:p>
        </w:tc>
        <w:tc>
          <w:tcPr>
            <w:tcW w:w="3116" w:type="dxa"/>
          </w:tcPr>
          <w:p w14:paraId="52BC53C5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1DE67F37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15 sek. </w:t>
            </w:r>
          </w:p>
        </w:tc>
      </w:tr>
      <w:tr w:rsidR="003A2620" w:rsidRPr="003A2620" w14:paraId="72D1AC57" w14:textId="77777777">
        <w:trPr>
          <w:trHeight w:val="279"/>
        </w:trPr>
        <w:tc>
          <w:tcPr>
            <w:tcW w:w="3116" w:type="dxa"/>
          </w:tcPr>
          <w:p w14:paraId="763F2706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Staphylococcus eureus </w:t>
            </w:r>
          </w:p>
        </w:tc>
        <w:tc>
          <w:tcPr>
            <w:tcW w:w="3116" w:type="dxa"/>
          </w:tcPr>
          <w:p w14:paraId="6FC9082A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0E4B1E2F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15 sek. </w:t>
            </w:r>
          </w:p>
        </w:tc>
      </w:tr>
      <w:tr w:rsidR="003A2620" w:rsidRPr="003A2620" w14:paraId="54B792D6" w14:textId="77777777">
        <w:trPr>
          <w:trHeight w:val="280"/>
        </w:trPr>
        <w:tc>
          <w:tcPr>
            <w:tcW w:w="3116" w:type="dxa"/>
          </w:tcPr>
          <w:p w14:paraId="70CD7971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Enterococcus hirae </w:t>
            </w:r>
          </w:p>
        </w:tc>
        <w:tc>
          <w:tcPr>
            <w:tcW w:w="3116" w:type="dxa"/>
          </w:tcPr>
          <w:p w14:paraId="15B8DD5D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7010EF41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15 sek. </w:t>
            </w:r>
          </w:p>
        </w:tc>
      </w:tr>
      <w:tr w:rsidR="003A2620" w:rsidRPr="003A2620" w14:paraId="79A4F7B1" w14:textId="77777777">
        <w:trPr>
          <w:trHeight w:val="279"/>
        </w:trPr>
        <w:tc>
          <w:tcPr>
            <w:tcW w:w="3116" w:type="dxa"/>
          </w:tcPr>
          <w:p w14:paraId="21891042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Candida albicans </w:t>
            </w:r>
          </w:p>
        </w:tc>
        <w:tc>
          <w:tcPr>
            <w:tcW w:w="3116" w:type="dxa"/>
          </w:tcPr>
          <w:p w14:paraId="224178C3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44C2A0F0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15 sek. </w:t>
            </w:r>
          </w:p>
        </w:tc>
      </w:tr>
      <w:tr w:rsidR="003A2620" w:rsidRPr="003A2620" w14:paraId="5588304B" w14:textId="77777777">
        <w:trPr>
          <w:trHeight w:val="280"/>
        </w:trPr>
        <w:tc>
          <w:tcPr>
            <w:tcW w:w="3116" w:type="dxa"/>
          </w:tcPr>
          <w:p w14:paraId="48BF3FB4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Mycobacterium terrae </w:t>
            </w:r>
          </w:p>
        </w:tc>
        <w:tc>
          <w:tcPr>
            <w:tcW w:w="3116" w:type="dxa"/>
          </w:tcPr>
          <w:p w14:paraId="6BFBC6B6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35032AA8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30 sek. </w:t>
            </w:r>
          </w:p>
        </w:tc>
      </w:tr>
      <w:tr w:rsidR="003A2620" w:rsidRPr="003A2620" w14:paraId="3F3594BA" w14:textId="77777777">
        <w:trPr>
          <w:trHeight w:val="279"/>
        </w:trPr>
        <w:tc>
          <w:tcPr>
            <w:tcW w:w="3116" w:type="dxa"/>
          </w:tcPr>
          <w:p w14:paraId="64B18F1A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Visi apvalkalėtieji virusai (įsk. ŽIV, HBV, HCV, Vaccinia) </w:t>
            </w:r>
          </w:p>
        </w:tc>
        <w:tc>
          <w:tcPr>
            <w:tcW w:w="3116" w:type="dxa"/>
          </w:tcPr>
          <w:p w14:paraId="0ACBBAD4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44CB1D73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30 sek. </w:t>
            </w:r>
          </w:p>
        </w:tc>
      </w:tr>
      <w:tr w:rsidR="003A2620" w:rsidRPr="003A2620" w14:paraId="55BD52FB" w14:textId="77777777">
        <w:trPr>
          <w:trHeight w:val="280"/>
        </w:trPr>
        <w:tc>
          <w:tcPr>
            <w:tcW w:w="3116" w:type="dxa"/>
          </w:tcPr>
          <w:p w14:paraId="05977625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Virusas Rota </w:t>
            </w:r>
          </w:p>
        </w:tc>
        <w:tc>
          <w:tcPr>
            <w:tcW w:w="3116" w:type="dxa"/>
          </w:tcPr>
          <w:p w14:paraId="1E9C235D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670569EB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30 sek. </w:t>
            </w:r>
          </w:p>
        </w:tc>
      </w:tr>
      <w:tr w:rsidR="003A2620" w:rsidRPr="003A2620" w14:paraId="23A0587B" w14:textId="77777777">
        <w:trPr>
          <w:trHeight w:val="279"/>
        </w:trPr>
        <w:tc>
          <w:tcPr>
            <w:tcW w:w="3116" w:type="dxa"/>
          </w:tcPr>
          <w:p w14:paraId="5B2555A0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Virusas Adeno </w:t>
            </w:r>
          </w:p>
        </w:tc>
        <w:tc>
          <w:tcPr>
            <w:tcW w:w="3116" w:type="dxa"/>
          </w:tcPr>
          <w:p w14:paraId="4252D149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7E33C883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30 sek. </w:t>
            </w:r>
          </w:p>
        </w:tc>
      </w:tr>
      <w:tr w:rsidR="003A2620" w:rsidRPr="003A2620" w14:paraId="71326EF4" w14:textId="77777777">
        <w:trPr>
          <w:trHeight w:val="280"/>
        </w:trPr>
        <w:tc>
          <w:tcPr>
            <w:tcW w:w="3116" w:type="dxa"/>
          </w:tcPr>
          <w:p w14:paraId="596F2925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Virusas Herpes Simplex </w:t>
            </w:r>
          </w:p>
        </w:tc>
        <w:tc>
          <w:tcPr>
            <w:tcW w:w="3116" w:type="dxa"/>
          </w:tcPr>
          <w:p w14:paraId="188A4EB4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Paruošta naudoti </w:t>
            </w:r>
          </w:p>
        </w:tc>
        <w:tc>
          <w:tcPr>
            <w:tcW w:w="3116" w:type="dxa"/>
          </w:tcPr>
          <w:p w14:paraId="0CFA1634" w14:textId="77777777" w:rsidR="003A2620" w:rsidRPr="003A2620" w:rsidRDefault="003A2620" w:rsidP="003A26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3A2620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30 sek. </w:t>
            </w:r>
          </w:p>
        </w:tc>
      </w:tr>
    </w:tbl>
    <w:p w14:paraId="6A6ADAA3" w14:textId="22E7D7A2" w:rsidR="002945A9" w:rsidRPr="003A2620" w:rsidRDefault="002945A9" w:rsidP="002945A9">
      <w:pPr>
        <w:pStyle w:val="Default"/>
        <w:rPr>
          <w:rFonts w:ascii="Times New Roman" w:hAnsi="Times New Roman" w:cs="Times New Roman"/>
        </w:rPr>
      </w:pPr>
    </w:p>
    <w:p w14:paraId="3E85DE54" w14:textId="0321607A" w:rsidR="003A2620" w:rsidRDefault="002945A9" w:rsidP="003A2620">
      <w:pPr>
        <w:pStyle w:val="Default"/>
        <w:rPr>
          <w:rFonts w:ascii="Times New Roman" w:hAnsi="Times New Roman" w:cs="Times New Roman"/>
        </w:rPr>
      </w:pPr>
      <w:r w:rsidRPr="003A2620">
        <w:rPr>
          <w:rFonts w:ascii="Times New Roman" w:hAnsi="Times New Roman" w:cs="Times New Roman"/>
        </w:rPr>
        <w:t xml:space="preserve"> </w:t>
      </w:r>
      <w:r w:rsidR="003A2620" w:rsidRPr="003A2620">
        <w:rPr>
          <w:rFonts w:ascii="Times New Roman" w:hAnsi="Times New Roman" w:cs="Times New Roman"/>
        </w:rPr>
        <w:t xml:space="preserve">Chemisept G išbandytas pagal šiuos Europos standartus: EN12791, EN13624, EN13727, EN14348, o virusai išbandyti pagal BGA ir DVV gaires. </w:t>
      </w:r>
    </w:p>
    <w:p w14:paraId="327EE7C9" w14:textId="77777777" w:rsidR="003A2620" w:rsidRPr="003A2620" w:rsidRDefault="003A2620" w:rsidP="003A2620">
      <w:pPr>
        <w:pStyle w:val="Default"/>
        <w:rPr>
          <w:rFonts w:ascii="Times New Roman" w:hAnsi="Times New Roman" w:cs="Times New Roman"/>
        </w:rPr>
      </w:pPr>
    </w:p>
    <w:p w14:paraId="30AF118F" w14:textId="77777777" w:rsidR="003A2620" w:rsidRPr="003A2620" w:rsidRDefault="003A2620" w:rsidP="003A2620">
      <w:pPr>
        <w:pStyle w:val="Default"/>
        <w:rPr>
          <w:rFonts w:ascii="Times New Roman" w:hAnsi="Times New Roman" w:cs="Times New Roman"/>
        </w:rPr>
      </w:pPr>
      <w:r w:rsidRPr="003A2620">
        <w:rPr>
          <w:rFonts w:ascii="Times New Roman" w:hAnsi="Times New Roman" w:cs="Times New Roman"/>
        </w:rPr>
        <w:t xml:space="preserve">ATSARGUMO PRIEMONĖS </w:t>
      </w:r>
    </w:p>
    <w:p w14:paraId="205293E1" w14:textId="47417B02" w:rsidR="002945A9" w:rsidRPr="003A2620" w:rsidRDefault="003A2620" w:rsidP="003A2620">
      <w:pPr>
        <w:pStyle w:val="Default"/>
        <w:rPr>
          <w:rFonts w:ascii="Times New Roman" w:hAnsi="Times New Roman" w:cs="Times New Roman"/>
        </w:rPr>
      </w:pPr>
      <w:r w:rsidRPr="003A2620">
        <w:rPr>
          <w:rFonts w:ascii="Times New Roman" w:hAnsi="Times New Roman" w:cs="Times New Roman"/>
        </w:rPr>
        <w:t>Labai degus skystis ir garai. Laikyti atokiau nuo karščio šaltinių, karšto paviršiaus, kibirkščių, atviros ugnies ir kitų užsiliepsnojimo šaltinių. Nerūkyti. Talpyklą sandariai uždaryti. Laikyti gerai vėdinamoje vietoje. Laikyti vėsioje vietoje.</w:t>
      </w:r>
    </w:p>
    <w:p w14:paraId="5002E2A4" w14:textId="77777777" w:rsidR="003A2620" w:rsidRDefault="003A2620" w:rsidP="003A2620">
      <w:pPr>
        <w:pStyle w:val="Default"/>
        <w:rPr>
          <w:rFonts w:ascii="Times New Roman" w:hAnsi="Times New Roman" w:cs="Times New Roman"/>
          <w:color w:val="auto"/>
        </w:rPr>
      </w:pPr>
    </w:p>
    <w:p w14:paraId="7DADB050" w14:textId="6DD64430" w:rsidR="003A2620" w:rsidRPr="003A2620" w:rsidRDefault="003A2620" w:rsidP="003A2620">
      <w:pPr>
        <w:pStyle w:val="Default"/>
        <w:rPr>
          <w:rFonts w:ascii="Times New Roman" w:hAnsi="Times New Roman" w:cs="Times New Roman"/>
        </w:rPr>
      </w:pPr>
      <w:r w:rsidRPr="003A2620">
        <w:rPr>
          <w:rFonts w:ascii="Times New Roman" w:hAnsi="Times New Roman" w:cs="Times New Roman"/>
        </w:rPr>
        <w:t xml:space="preserve">SUDEDAMOSIOS DALYS </w:t>
      </w:r>
    </w:p>
    <w:p w14:paraId="789A90FB" w14:textId="0B51F79C" w:rsidR="003A2620" w:rsidRPr="003A2620" w:rsidRDefault="003A2620" w:rsidP="003A2620">
      <w:pPr>
        <w:jc w:val="both"/>
        <w:rPr>
          <w:rFonts w:ascii="Times New Roman" w:hAnsi="Times New Roman" w:cs="Times New Roman"/>
          <w:sz w:val="24"/>
          <w:szCs w:val="24"/>
        </w:rPr>
      </w:pPr>
      <w:r w:rsidRPr="003A2620">
        <w:rPr>
          <w:rFonts w:ascii="Times New Roman" w:hAnsi="Times New Roman" w:cs="Times New Roman"/>
          <w:sz w:val="24"/>
          <w:szCs w:val="24"/>
        </w:rPr>
        <w:t>100 g produkto sudėtyje yra šių veikliųjų sudedamųjų dalių: etanolio, 75 g, alkil (C12-18) dimetilbenzilamonio chlorido, 0,05 g, alkil (C12-C14) etilbenzilamonio chlorido, 0,05 g.</w:t>
      </w:r>
    </w:p>
    <w:p w14:paraId="3F40DCBC" w14:textId="138CB309" w:rsidR="003A2620" w:rsidRPr="00981C5B" w:rsidRDefault="003A2620" w:rsidP="00981C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PAKUOTĖ</w:t>
      </w:r>
      <w:r w:rsidRPr="003A2620">
        <w:rPr>
          <w:rFonts w:ascii="Times New Roman" w:hAnsi="Times New Roman" w:cs="Times New Roman"/>
        </w:rPr>
        <w:t xml:space="preserve"> </w:t>
      </w:r>
    </w:p>
    <w:p w14:paraId="36610159" w14:textId="77777777" w:rsidR="003A2620" w:rsidRPr="003A2620" w:rsidRDefault="003A2620" w:rsidP="003A2620">
      <w:pPr>
        <w:pStyle w:val="Default"/>
        <w:rPr>
          <w:rFonts w:ascii="Times New Roman" w:hAnsi="Times New Roman" w:cs="Times New Roman"/>
        </w:rPr>
      </w:pPr>
      <w:r w:rsidRPr="003A2620">
        <w:rPr>
          <w:rFonts w:ascii="Times New Roman" w:hAnsi="Times New Roman" w:cs="Times New Roman"/>
        </w:rPr>
        <w:t xml:space="preserve">250 ml buteliukas su purškikliu </w:t>
      </w:r>
    </w:p>
    <w:p w14:paraId="427D8022" w14:textId="77777777" w:rsidR="003A2620" w:rsidRPr="003A2620" w:rsidRDefault="003A2620" w:rsidP="003A2620">
      <w:pPr>
        <w:pStyle w:val="Default"/>
        <w:rPr>
          <w:rFonts w:ascii="Times New Roman" w:hAnsi="Times New Roman" w:cs="Times New Roman"/>
        </w:rPr>
      </w:pPr>
      <w:r w:rsidRPr="003A2620">
        <w:rPr>
          <w:rFonts w:ascii="Times New Roman" w:hAnsi="Times New Roman" w:cs="Times New Roman"/>
        </w:rPr>
        <w:t xml:space="preserve">500 ml buteliukas su pompa </w:t>
      </w:r>
    </w:p>
    <w:p w14:paraId="63A97928" w14:textId="2FC0E3BE" w:rsidR="003A2620" w:rsidRPr="003A2620" w:rsidRDefault="003A2620" w:rsidP="003A2620">
      <w:pPr>
        <w:pStyle w:val="Default"/>
        <w:rPr>
          <w:rFonts w:ascii="Times New Roman" w:hAnsi="Times New Roman" w:cs="Times New Roman"/>
        </w:rPr>
      </w:pPr>
      <w:r w:rsidRPr="003A2620">
        <w:rPr>
          <w:rFonts w:ascii="Times New Roman" w:hAnsi="Times New Roman" w:cs="Times New Roman"/>
        </w:rPr>
        <w:t xml:space="preserve">1 l butelis </w:t>
      </w:r>
      <w:r w:rsidR="00981C5B">
        <w:rPr>
          <w:rFonts w:ascii="Times New Roman" w:hAnsi="Times New Roman" w:cs="Times New Roman"/>
        </w:rPr>
        <w:t>su pompa iš viršaus</w:t>
      </w:r>
    </w:p>
    <w:p w14:paraId="432C3307" w14:textId="7799E771" w:rsidR="003A2620" w:rsidRPr="003A2620" w:rsidRDefault="003A2620" w:rsidP="003A2620">
      <w:pPr>
        <w:jc w:val="both"/>
        <w:rPr>
          <w:rFonts w:ascii="Times New Roman" w:hAnsi="Times New Roman" w:cs="Times New Roman"/>
          <w:sz w:val="24"/>
          <w:szCs w:val="24"/>
        </w:rPr>
      </w:pPr>
      <w:r w:rsidRPr="003A2620">
        <w:rPr>
          <w:rFonts w:ascii="Times New Roman" w:hAnsi="Times New Roman" w:cs="Times New Roman"/>
          <w:sz w:val="24"/>
          <w:szCs w:val="24"/>
        </w:rPr>
        <w:t>5 l kanistras</w:t>
      </w:r>
    </w:p>
    <w:sectPr w:rsidR="003A2620" w:rsidRPr="003A2620" w:rsidSect="003A2620">
      <w:pgSz w:w="11906" w:h="16838"/>
      <w:pgMar w:top="1417" w:right="1416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lender Pro Book">
    <w:altName w:val="Franklin Gothic Medium Cond"/>
    <w:charset w:val="BA"/>
    <w:family w:val="auto"/>
    <w:pitch w:val="variable"/>
    <w:sig w:usb0="800002AF" w:usb1="5000204A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lender Pro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9E6FD18"/>
    <w:multiLevelType w:val="hybridMultilevel"/>
    <w:tmpl w:val="893F8D7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277E7D0"/>
    <w:multiLevelType w:val="hybridMultilevel"/>
    <w:tmpl w:val="7DBAF24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5E57770A"/>
    <w:multiLevelType w:val="hybridMultilevel"/>
    <w:tmpl w:val="26B09E5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806707">
    <w:abstractNumId w:val="2"/>
  </w:num>
  <w:num w:numId="2" w16cid:durableId="1645088962">
    <w:abstractNumId w:val="0"/>
  </w:num>
  <w:num w:numId="3" w16cid:durableId="292102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C9A"/>
    <w:rsid w:val="00081A81"/>
    <w:rsid w:val="000C1B2A"/>
    <w:rsid w:val="000D43EC"/>
    <w:rsid w:val="001A7576"/>
    <w:rsid w:val="001B0C9A"/>
    <w:rsid w:val="001D28CF"/>
    <w:rsid w:val="002945A9"/>
    <w:rsid w:val="002D0D4E"/>
    <w:rsid w:val="003A2620"/>
    <w:rsid w:val="004750BA"/>
    <w:rsid w:val="00583221"/>
    <w:rsid w:val="00584CB9"/>
    <w:rsid w:val="005F5556"/>
    <w:rsid w:val="00600B1D"/>
    <w:rsid w:val="0065154D"/>
    <w:rsid w:val="006A19C8"/>
    <w:rsid w:val="006A3E0B"/>
    <w:rsid w:val="00823D91"/>
    <w:rsid w:val="0082643B"/>
    <w:rsid w:val="008E20B1"/>
    <w:rsid w:val="00981C5B"/>
    <w:rsid w:val="009C2FD2"/>
    <w:rsid w:val="00A60C66"/>
    <w:rsid w:val="00B75B41"/>
    <w:rsid w:val="00C63306"/>
    <w:rsid w:val="00C96369"/>
    <w:rsid w:val="00CC62EA"/>
    <w:rsid w:val="00D07A1B"/>
    <w:rsid w:val="00D60ADD"/>
    <w:rsid w:val="00EE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6FEDC"/>
  <w15:chartTrackingRefBased/>
  <w15:docId w15:val="{8B080227-18BC-4467-A4DA-60ED654C0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E0B"/>
    <w:rPr>
      <w:rFonts w:ascii="Blender Pro Book" w:hAnsi="Blender Pro Boo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4CB9"/>
    <w:pPr>
      <w:ind w:left="720"/>
      <w:contextualSpacing/>
    </w:pPr>
  </w:style>
  <w:style w:type="paragraph" w:customStyle="1" w:styleId="Default">
    <w:name w:val="Default"/>
    <w:rsid w:val="002945A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3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 Millner</dc:creator>
  <cp:keywords/>
  <dc:description/>
  <cp:lastModifiedBy>Giedrius Aželis</cp:lastModifiedBy>
  <cp:revision>4</cp:revision>
  <cp:lastPrinted>2018-10-25T12:23:00Z</cp:lastPrinted>
  <dcterms:created xsi:type="dcterms:W3CDTF">2018-11-30T08:45:00Z</dcterms:created>
  <dcterms:modified xsi:type="dcterms:W3CDTF">2025-08-13T10:35:00Z</dcterms:modified>
</cp:coreProperties>
</file>