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1FB7" w14:textId="77777777" w:rsidR="0054594A" w:rsidRDefault="0054594A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48281FB8" w14:textId="77777777" w:rsidR="0054594A" w:rsidRDefault="0054594A">
      <w:pPr>
        <w:rPr>
          <w:sz w:val="14"/>
          <w:szCs w:val="14"/>
        </w:rPr>
      </w:pPr>
    </w:p>
    <w:p w14:paraId="48281FB9" w14:textId="77777777" w:rsidR="0054594A" w:rsidRDefault="0063527E">
      <w:pPr>
        <w:textAlignment w:val="baseline"/>
        <w:rPr>
          <w:sz w:val="18"/>
          <w:szCs w:val="18"/>
        </w:rPr>
      </w:pPr>
      <w:r>
        <w:rPr>
          <w:szCs w:val="24"/>
        </w:rPr>
        <w:t xml:space="preserve">                                                                                     PATVIRTINTA </w:t>
      </w:r>
    </w:p>
    <w:p w14:paraId="48281FBA" w14:textId="77777777" w:rsidR="0054594A" w:rsidRDefault="0063527E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 Viešųjų pirkimų tarnybos direktoriaus </w:t>
      </w:r>
    </w:p>
    <w:p w14:paraId="48281FBB" w14:textId="77777777" w:rsidR="0054594A" w:rsidRDefault="0063527E">
      <w:pPr>
        <w:ind w:left="5040"/>
        <w:textAlignment w:val="baseline"/>
        <w:rPr>
          <w:szCs w:val="24"/>
        </w:rPr>
      </w:pPr>
      <w:r>
        <w:rPr>
          <w:szCs w:val="24"/>
        </w:rPr>
        <w:t xml:space="preserve"> 2024 m. vasario 8 d. įsakymu Nr. 1S-19 </w:t>
      </w:r>
    </w:p>
    <w:p w14:paraId="48281FBC" w14:textId="77777777" w:rsidR="0054594A" w:rsidRDefault="0063527E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(Viešųjų pirkimų tarnybos direktoriaus</w:t>
      </w:r>
    </w:p>
    <w:p w14:paraId="48281FBD" w14:textId="77777777" w:rsidR="0054594A" w:rsidRDefault="0063527E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2025 m. balandžio 17 d. įsakymo Nr. 1S-51 </w:t>
      </w:r>
    </w:p>
    <w:p w14:paraId="48281FBE" w14:textId="77777777" w:rsidR="0054594A" w:rsidRDefault="0063527E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redakcija)</w:t>
      </w:r>
    </w:p>
    <w:p w14:paraId="48281FBF" w14:textId="77777777" w:rsidR="0054594A" w:rsidRDefault="0054594A">
      <w:pPr>
        <w:widowControl w:val="0"/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48281FC0" w14:textId="77777777" w:rsidR="0054594A" w:rsidRDefault="0063527E">
      <w:pPr>
        <w:widowControl w:val="0"/>
        <w:tabs>
          <w:tab w:val="left" w:pos="567"/>
          <w:tab w:val="left" w:pos="851"/>
        </w:tabs>
        <w:jc w:val="center"/>
        <w:rPr>
          <w:b/>
          <w:caps/>
          <w:color w:val="000000" w:themeColor="text1"/>
          <w:szCs w:val="24"/>
        </w:rPr>
      </w:pPr>
      <w:r>
        <w:rPr>
          <w:b/>
          <w:caps/>
          <w:color w:val="000000" w:themeColor="text1"/>
          <w:szCs w:val="24"/>
        </w:rPr>
        <w:t xml:space="preserve">Prekių pirkimo-pardavimo sutarties Specialiosios sąlygos </w:t>
      </w:r>
    </w:p>
    <w:p w14:paraId="48281FC1" w14:textId="77777777" w:rsidR="0054594A" w:rsidRDefault="0054594A">
      <w:pPr>
        <w:jc w:val="center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444"/>
        <w:gridCol w:w="2184"/>
        <w:gridCol w:w="2359"/>
        <w:gridCol w:w="2571"/>
      </w:tblGrid>
      <w:tr w:rsidR="0054594A" w14:paraId="48281FC4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C2" w14:textId="77777777" w:rsidR="0054594A" w:rsidRDefault="0063527E">
            <w:pPr>
              <w:widowControl w:val="0"/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C3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Lengvasis automobilis (Elektromobilis)</w:t>
            </w:r>
          </w:p>
        </w:tc>
      </w:tr>
      <w:tr w:rsidR="0054594A" w14:paraId="48281FC9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C5" w14:textId="77777777" w:rsidR="0054594A" w:rsidRDefault="0063527E">
            <w:pPr>
              <w:widowControl w:val="0"/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C6" w14:textId="77777777" w:rsidR="0054594A" w:rsidRDefault="0054594A">
            <w:pPr>
              <w:widowControl w:val="0"/>
              <w:jc w:val="both"/>
              <w:rPr>
                <w:kern w:val="2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C7" w14:textId="77777777" w:rsidR="0054594A" w:rsidRDefault="0063527E">
            <w:pPr>
              <w:widowControl w:val="0"/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C8" w14:textId="77777777" w:rsidR="0054594A" w:rsidRDefault="0054594A">
            <w:pPr>
              <w:widowControl w:val="0"/>
              <w:jc w:val="both"/>
              <w:rPr>
                <w:kern w:val="2"/>
                <w:szCs w:val="24"/>
              </w:rPr>
            </w:pPr>
          </w:p>
        </w:tc>
      </w:tr>
    </w:tbl>
    <w:p w14:paraId="48281FCA" w14:textId="77777777" w:rsidR="0054594A" w:rsidRDefault="0054594A">
      <w:pPr>
        <w:jc w:val="both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4594A" w14:paraId="48281FCC" w14:textId="77777777"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CB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4594A" w14:paraId="48281FD4" w14:textId="77777777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CD" w14:textId="77777777" w:rsidR="0054594A" w:rsidRDefault="0054594A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</w:p>
          <w:p w14:paraId="48281FCE" w14:textId="77777777" w:rsidR="0054594A" w:rsidRDefault="0054594A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</w:p>
          <w:p w14:paraId="48281FCF" w14:textId="77777777" w:rsidR="0054594A" w:rsidRDefault="0054594A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</w:p>
          <w:p w14:paraId="48281FD0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  <w:p w14:paraId="48281FD1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D2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D3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VšĮ Joniškio pirminės sveikatos priežiūros centras</w:t>
            </w:r>
          </w:p>
        </w:tc>
      </w:tr>
      <w:tr w:rsidR="0054594A" w14:paraId="48281FD8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D5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D6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D7" w14:textId="77777777" w:rsidR="0054594A" w:rsidRDefault="0063527E">
            <w:pPr>
              <w:widowControl w:val="0"/>
              <w:jc w:val="center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157653395</w:t>
            </w:r>
          </w:p>
        </w:tc>
      </w:tr>
      <w:tr w:rsidR="0054594A" w14:paraId="48281FDC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D9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DA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DB" w14:textId="77777777" w:rsidR="0054594A" w:rsidRDefault="0063527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t xml:space="preserve">Pašvitinio g. 21, </w:t>
            </w:r>
            <w:r>
              <w:rPr>
                <w:kern w:val="2"/>
                <w:szCs w:val="24"/>
              </w:rPr>
              <w:t xml:space="preserve">Joniškis, 84147  </w:t>
            </w:r>
            <w:r>
              <w:rPr>
                <w:szCs w:val="24"/>
                <w:lang w:eastAsia="lt-LT"/>
              </w:rPr>
              <w:t>Joniškio r. sav.</w:t>
            </w:r>
          </w:p>
        </w:tc>
      </w:tr>
      <w:tr w:rsidR="0054594A" w14:paraId="48281FE0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DD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DE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DF" w14:textId="77777777" w:rsidR="0054594A" w:rsidRDefault="0054594A">
            <w:pPr>
              <w:widowControl w:val="0"/>
              <w:jc w:val="center"/>
              <w:rPr>
                <w:kern w:val="2"/>
                <w:szCs w:val="24"/>
              </w:rPr>
            </w:pPr>
          </w:p>
        </w:tc>
      </w:tr>
      <w:tr w:rsidR="0054594A" w14:paraId="48281FE4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E1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E2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E3" w14:textId="77777777" w:rsidR="0054594A" w:rsidRDefault="0054594A">
            <w:pPr>
              <w:widowControl w:val="0"/>
              <w:jc w:val="center"/>
            </w:pPr>
          </w:p>
        </w:tc>
      </w:tr>
      <w:tr w:rsidR="0054594A" w14:paraId="48281FE8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E5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E6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E7" w14:textId="77777777" w:rsidR="0054594A" w:rsidRDefault="0054594A">
            <w:pPr>
              <w:widowControl w:val="0"/>
              <w:jc w:val="center"/>
            </w:pPr>
          </w:p>
        </w:tc>
      </w:tr>
      <w:tr w:rsidR="0054594A" w14:paraId="48281FEC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E9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EA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EB" w14:textId="77777777" w:rsidR="0054594A" w:rsidRDefault="0063527E">
            <w:pPr>
              <w:widowControl w:val="0"/>
              <w:jc w:val="center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0 426 61258</w:t>
            </w:r>
          </w:p>
        </w:tc>
      </w:tr>
      <w:tr w:rsidR="0054594A" w14:paraId="48281FF1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ED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EE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EF" w14:textId="77777777" w:rsidR="0054594A" w:rsidRDefault="0063527E">
            <w:pPr>
              <w:widowControl w:val="0"/>
              <w:ind w:right="22"/>
              <w:jc w:val="center"/>
              <w:rPr>
                <w:szCs w:val="24"/>
                <w:lang w:eastAsia="lt-LT"/>
              </w:rPr>
            </w:pPr>
            <w:r>
              <w:rPr>
                <w:rStyle w:val="Hipersaitas"/>
                <w:szCs w:val="24"/>
                <w:lang w:eastAsia="lt-LT"/>
              </w:rPr>
              <w:t>info@joniskiopoliklinika.lt</w:t>
            </w:r>
          </w:p>
          <w:p w14:paraId="48281FF0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</w:tr>
      <w:tr w:rsidR="0054594A" w14:paraId="48281FF5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F2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F3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F4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</w:tr>
      <w:tr w:rsidR="0054594A" w14:paraId="48281FF9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F6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F7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F8" w14:textId="77777777" w:rsidR="0054594A" w:rsidRDefault="0063527E">
            <w:pPr>
              <w:widowControl w:val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Įmonės įstatai</w:t>
            </w:r>
          </w:p>
        </w:tc>
      </w:tr>
      <w:tr w:rsidR="0054594A" w14:paraId="48282002" w14:textId="77777777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FFA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  <w:p w14:paraId="48281FFB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  <w:p w14:paraId="48281FFC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  <w:p w14:paraId="48281FFD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48281FFE" w14:textId="77777777" w:rsidR="0054594A" w:rsidRDefault="0063527E">
            <w:pPr>
              <w:widowControl w:val="0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48281FFF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00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01" w14:textId="77777777" w:rsidR="0054594A" w:rsidRDefault="0054594A">
            <w:pPr>
              <w:widowControl w:val="0"/>
              <w:jc w:val="center"/>
              <w:rPr>
                <w:kern w:val="2"/>
                <w:szCs w:val="24"/>
              </w:rPr>
            </w:pPr>
          </w:p>
        </w:tc>
      </w:tr>
      <w:tr w:rsidR="0054594A" w14:paraId="48282006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03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04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05" w14:textId="77777777" w:rsidR="0054594A" w:rsidRDefault="0054594A">
            <w:pPr>
              <w:widowControl w:val="0"/>
              <w:jc w:val="center"/>
              <w:rPr>
                <w:kern w:val="2"/>
                <w:szCs w:val="24"/>
              </w:rPr>
            </w:pPr>
          </w:p>
        </w:tc>
      </w:tr>
      <w:tr w:rsidR="0054594A" w14:paraId="4828200A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07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08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09" w14:textId="77777777" w:rsidR="0054594A" w:rsidRDefault="0054594A">
            <w:pPr>
              <w:widowControl w:val="0"/>
              <w:jc w:val="center"/>
              <w:rPr>
                <w:kern w:val="2"/>
                <w:szCs w:val="24"/>
              </w:rPr>
            </w:pPr>
          </w:p>
        </w:tc>
      </w:tr>
      <w:tr w:rsidR="0054594A" w14:paraId="4828200E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0B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0C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0D" w14:textId="77777777" w:rsidR="0054594A" w:rsidRDefault="0054594A">
            <w:pPr>
              <w:widowControl w:val="0"/>
              <w:jc w:val="center"/>
              <w:rPr>
                <w:kern w:val="2"/>
                <w:szCs w:val="24"/>
              </w:rPr>
            </w:pPr>
          </w:p>
        </w:tc>
      </w:tr>
      <w:tr w:rsidR="0054594A" w14:paraId="48282012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0F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10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11" w14:textId="77777777" w:rsidR="0054594A" w:rsidRDefault="0054594A">
            <w:pPr>
              <w:widowControl w:val="0"/>
              <w:jc w:val="center"/>
              <w:rPr>
                <w:kern w:val="2"/>
                <w:szCs w:val="24"/>
              </w:rPr>
            </w:pPr>
          </w:p>
        </w:tc>
      </w:tr>
      <w:tr w:rsidR="0054594A" w14:paraId="48282016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13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14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15" w14:textId="77777777" w:rsidR="0054594A" w:rsidRDefault="0054594A">
            <w:pPr>
              <w:widowControl w:val="0"/>
              <w:jc w:val="center"/>
              <w:rPr>
                <w:kern w:val="2"/>
                <w:szCs w:val="24"/>
              </w:rPr>
            </w:pPr>
          </w:p>
        </w:tc>
      </w:tr>
      <w:tr w:rsidR="0054594A" w14:paraId="4828201A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17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18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19" w14:textId="77777777" w:rsidR="0054594A" w:rsidRDefault="0054594A">
            <w:pPr>
              <w:widowControl w:val="0"/>
              <w:jc w:val="center"/>
              <w:rPr>
                <w:kern w:val="2"/>
                <w:szCs w:val="24"/>
              </w:rPr>
            </w:pPr>
          </w:p>
        </w:tc>
      </w:tr>
      <w:tr w:rsidR="0054594A" w14:paraId="4828201E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1B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1C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1D" w14:textId="77777777" w:rsidR="0054594A" w:rsidRDefault="0054594A">
            <w:pPr>
              <w:widowControl w:val="0"/>
              <w:jc w:val="center"/>
              <w:rPr>
                <w:kern w:val="2"/>
                <w:szCs w:val="24"/>
              </w:rPr>
            </w:pPr>
          </w:p>
        </w:tc>
      </w:tr>
      <w:tr w:rsidR="0054594A" w14:paraId="48282022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1F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20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21" w14:textId="77777777" w:rsidR="0054594A" w:rsidRDefault="0054594A">
            <w:pPr>
              <w:widowControl w:val="0"/>
              <w:jc w:val="center"/>
              <w:rPr>
                <w:kern w:val="2"/>
                <w:szCs w:val="24"/>
              </w:rPr>
            </w:pPr>
          </w:p>
        </w:tc>
      </w:tr>
      <w:tr w:rsidR="0054594A" w14:paraId="48282026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23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24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25" w14:textId="77777777" w:rsidR="0054594A" w:rsidRDefault="0054594A">
            <w:pPr>
              <w:widowControl w:val="0"/>
              <w:jc w:val="center"/>
              <w:rPr>
                <w:kern w:val="2"/>
                <w:szCs w:val="24"/>
              </w:rPr>
            </w:pPr>
          </w:p>
        </w:tc>
      </w:tr>
    </w:tbl>
    <w:p w14:paraId="48282027" w14:textId="77777777" w:rsidR="0054594A" w:rsidRDefault="0054594A">
      <w:pPr>
        <w:jc w:val="both"/>
        <w:rPr>
          <w:szCs w:val="24"/>
        </w:rPr>
      </w:pP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2532"/>
        <w:gridCol w:w="175"/>
        <w:gridCol w:w="2081"/>
        <w:gridCol w:w="4747"/>
      </w:tblGrid>
      <w:tr w:rsidR="0054594A" w14:paraId="48282029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28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4594A" w14:paraId="4828202C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2A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vykdymą, Prekių priėmimą, Sąskaitų per informacinę sistemą „Sąskaitų administravimo bendroji informacinė sistema (SABIS)“ priėmimą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2B" w14:textId="77777777" w:rsidR="0054594A" w:rsidRDefault="0063527E">
            <w:pPr>
              <w:widowControl w:val="0"/>
            </w:pPr>
            <w:r>
              <w:rPr>
                <w:color w:val="4472C4" w:themeColor="accent1"/>
              </w:rPr>
              <w:lastRenderedPageBreak/>
              <w:t>(nurodyti padalinį / skyrių, pareigas, vardą, pavardę, tel., el. paštą)</w:t>
            </w:r>
          </w:p>
        </w:tc>
      </w:tr>
      <w:tr w:rsidR="0054594A" w14:paraId="4828202F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2D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2E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color w:val="4472C4" w:themeColor="accent1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4594A" w14:paraId="48282031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30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4594A" w14:paraId="48282034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32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33" w14:textId="77777777" w:rsidR="0054594A" w:rsidRDefault="0063527E">
            <w:pPr>
              <w:widowControl w:val="0"/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1 vnt.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naują,</w:t>
            </w:r>
            <w:r>
              <w:rPr>
                <w:kern w:val="2"/>
                <w:szCs w:val="24"/>
              </w:rPr>
              <w:t xml:space="preserve"> lengvąjį elektromobilį, M1 kategorijos, varomą elektra</w:t>
            </w:r>
            <w:r>
              <w:rPr>
                <w:color w:val="000000"/>
                <w:kern w:val="2"/>
                <w:szCs w:val="24"/>
              </w:rPr>
              <w:t xml:space="preserve"> (toliau – Prekės), kurie pilnai atitinka reikalavimus nustatytus Prekėms  Sutarties priede Nr. 1 „Techninė specifikacija“ (toliau – Techninė specifikacija) ir Sutarties priede Nr. 2 „Pasiūlymas“.</w:t>
            </w:r>
          </w:p>
        </w:tc>
      </w:tr>
      <w:tr w:rsidR="0054594A" w14:paraId="48282037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35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36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</w:tr>
      <w:tr w:rsidR="0054594A" w14:paraId="4828203B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38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39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Europos Sąjungos lėšomis bendrai finansuojamo projekto Nr. </w:t>
            </w:r>
            <w:r>
              <w:rPr>
                <w:color w:val="000000"/>
                <w:kern w:val="2"/>
                <w:szCs w:val="24"/>
              </w:rPr>
              <w:t>(26-539-P-0001), pavadinimas „Ilgalaikės priežiūros paslaugų plėtros užtikrinimas Joniškio rajono savivaldybėje“.</w:t>
            </w:r>
          </w:p>
          <w:p w14:paraId="4828203A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</w:tr>
      <w:tr w:rsidR="0054594A" w14:paraId="4828203D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3C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4594A" w14:paraId="48282043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3E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4828203F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40" w14:textId="77777777" w:rsidR="0054594A" w:rsidRDefault="0063527E">
            <w:pPr>
              <w:widowControl w:val="0"/>
              <w:rPr>
                <w:szCs w:val="24"/>
                <w:lang w:eastAsia="lt-LT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6 mėn. </w:t>
            </w:r>
            <w:r>
              <w:rPr>
                <w:color w:val="000000"/>
                <w:kern w:val="2"/>
                <w:szCs w:val="24"/>
              </w:rPr>
              <w:t xml:space="preserve">nuo Sutarties pasirašymo dienos šiuo adresu: </w:t>
            </w:r>
            <w:r>
              <w:t xml:space="preserve">Pašvitinio g. 21, </w:t>
            </w:r>
            <w:r>
              <w:rPr>
                <w:kern w:val="2"/>
                <w:szCs w:val="24"/>
              </w:rPr>
              <w:t xml:space="preserve">Joniškis, 84147  </w:t>
            </w:r>
            <w:r>
              <w:rPr>
                <w:szCs w:val="24"/>
                <w:lang w:eastAsia="lt-LT"/>
              </w:rPr>
              <w:t>Joniškio r. sav.</w:t>
            </w:r>
          </w:p>
          <w:p w14:paraId="48282041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Tiekėjas Prekę galės pristatyti iš anksto suderinęs su Pirkėju laiką ir kontaktinį asmenį Prekę priimti.</w:t>
            </w:r>
          </w:p>
          <w:p w14:paraId="48282042" w14:textId="77777777" w:rsidR="0054594A" w:rsidRDefault="0054594A">
            <w:pPr>
              <w:widowControl w:val="0"/>
              <w:textAlignment w:val="baseline"/>
              <w:rPr>
                <w:szCs w:val="24"/>
              </w:rPr>
            </w:pPr>
          </w:p>
        </w:tc>
      </w:tr>
      <w:tr w:rsidR="0054594A" w14:paraId="48282047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44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45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282046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</w:tr>
      <w:tr w:rsidR="0054594A" w14:paraId="4828204A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48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49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4594A" w14:paraId="4828204E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4B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4C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28204D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</w:tr>
      <w:tr w:rsidR="0054594A" w14:paraId="48282053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4F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50" w14:textId="77777777" w:rsidR="0054594A" w:rsidRDefault="0063527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Kartu su Prekėmis pateikiami šie dokumentai: </w:t>
            </w:r>
            <w:r>
              <w:t>priėmimo–perdavimo aktą, krovinio pristatymo važtaraštį, prekės gamintojo atitikties sertifikatą (</w:t>
            </w:r>
            <w:proofErr w:type="spellStart"/>
            <w:r>
              <w:t>Certificate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Conformity</w:t>
            </w:r>
            <w:proofErr w:type="spellEnd"/>
            <w:r>
              <w:t xml:space="preserve"> COC), dokumentus, pagrindžiančius prekės garantinį laikotarpį (gamintojo garantiją), </w:t>
            </w:r>
            <w:r>
              <w:lastRenderedPageBreak/>
              <w:t>prekės registracijos liudijimą, galiojantį transporto priemonių valdytojų civilinės atsakomybės privalomojo draudimo sutarties liudijimą, galiojantį ne trumpiau kaip 1 mėnesį nuo Prekės perdavimo dienos, techninės apžiūros dokumentus bei techninių aptarnavimų grafiką su atstovų adresais, kur galima atlikti techninius aptarnavimus.</w:t>
            </w:r>
          </w:p>
          <w:p w14:paraId="48282051" w14:textId="77777777" w:rsidR="0054594A" w:rsidRDefault="0063527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Pirkėjui iškilus abejonių dėl Techninėje specifikacijoje keliamų minimalių reikalavimų atitikimo, gali būti paprašyti papildomi dokumentai.</w:t>
            </w:r>
          </w:p>
          <w:p w14:paraId="48282052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4594A" w14:paraId="48282055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54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4594A" w14:paraId="48282059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56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57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48282058" w14:textId="77777777" w:rsidR="0054594A" w:rsidRDefault="0054594A">
            <w:pPr>
              <w:widowControl w:val="0"/>
              <w:rPr>
                <w:color w:val="4472C4"/>
                <w:kern w:val="2"/>
              </w:rPr>
            </w:pPr>
          </w:p>
        </w:tc>
      </w:tr>
      <w:tr w:rsidR="0054594A" w14:paraId="48282062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5A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828205B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  <w:p w14:paraId="4828205C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  <w:p w14:paraId="4828205D" w14:textId="77777777" w:rsidR="0054594A" w:rsidRDefault="0054594A">
            <w:pPr>
              <w:widowControl w:val="0"/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5E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4828205F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8282060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8282061" w14:textId="77777777" w:rsidR="0054594A" w:rsidRDefault="0063527E">
            <w:pPr>
              <w:widowControl w:val="0"/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4594A" w14:paraId="48282069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63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48282064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  <w:p w14:paraId="48282065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66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perskaičiuojami:</w:t>
            </w:r>
          </w:p>
          <w:p w14:paraId="48282067" w14:textId="77777777" w:rsidR="0054594A" w:rsidRDefault="0063527E">
            <w:pPr>
              <w:widowControl w:val="0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  <w:p w14:paraId="48282068" w14:textId="77777777" w:rsidR="0054594A" w:rsidRDefault="0054594A">
            <w:pPr>
              <w:widowControl w:val="0"/>
              <w:rPr>
                <w:color w:val="FF0000"/>
                <w:kern w:val="2"/>
              </w:rPr>
            </w:pPr>
          </w:p>
        </w:tc>
      </w:tr>
      <w:tr w:rsidR="0054594A" w14:paraId="4828206D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6A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6B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4828206C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įforminama Susitarimu ir turi būti taikoma nuo naujo PVM įvedimo datos (nepriklausomai nuo to, kada pasirašytas Susitarimas).</w:t>
            </w:r>
          </w:p>
        </w:tc>
      </w:tr>
      <w:tr w:rsidR="0054594A" w14:paraId="48282071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6E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6F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282070" w14:textId="77777777" w:rsidR="0054594A" w:rsidRDefault="0054594A">
            <w:pPr>
              <w:widowControl w:val="0"/>
              <w:rPr>
                <w:kern w:val="2"/>
              </w:rPr>
            </w:pPr>
          </w:p>
        </w:tc>
      </w:tr>
      <w:tr w:rsidR="0054594A" w14:paraId="48282076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72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48282073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74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48282075" w14:textId="77777777" w:rsidR="0054594A" w:rsidRDefault="0054594A">
            <w:pPr>
              <w:widowControl w:val="0"/>
              <w:rPr>
                <w:color w:val="4472C4"/>
                <w:kern w:val="2"/>
                <w:szCs w:val="24"/>
              </w:rPr>
            </w:pPr>
          </w:p>
        </w:tc>
      </w:tr>
      <w:tr w:rsidR="0054594A" w14:paraId="4828207B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77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78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282079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  <w:p w14:paraId="4828207A" w14:textId="77777777" w:rsidR="0054594A" w:rsidRDefault="0054594A">
            <w:pPr>
              <w:widowControl w:val="0"/>
              <w:rPr>
                <w:color w:val="FF0000"/>
                <w:kern w:val="2"/>
                <w:szCs w:val="24"/>
              </w:rPr>
            </w:pPr>
          </w:p>
        </w:tc>
      </w:tr>
      <w:tr w:rsidR="0054594A" w14:paraId="48282081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7C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7D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28207E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  <w:p w14:paraId="4828207F" w14:textId="77777777" w:rsidR="0054594A" w:rsidRDefault="0054594A">
            <w:pPr>
              <w:widowControl w:val="0"/>
              <w:rPr>
                <w:color w:val="FF0000"/>
                <w:kern w:val="2"/>
                <w:szCs w:val="24"/>
              </w:rPr>
            </w:pPr>
          </w:p>
          <w:p w14:paraId="48282080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</w:tr>
      <w:tr w:rsidR="0054594A" w14:paraId="48282085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82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83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20 (dvidešimt) darbo dienų nuo Sąskaitos gavimo dienos.</w:t>
            </w:r>
          </w:p>
          <w:p w14:paraId="48282084" w14:textId="77777777" w:rsidR="0054594A" w:rsidRDefault="0063527E">
            <w:pPr>
              <w:widowControl w:val="0"/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Apmokėjimo sąlygos: įvykdžius visus sutartinius įsipareigojimus, sumokama visa Sutarties kaina.</w:t>
            </w:r>
          </w:p>
        </w:tc>
      </w:tr>
      <w:tr w:rsidR="0054594A" w14:paraId="48282088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86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87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4594A" w14:paraId="4828208C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89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8A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28208B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4594A" w14:paraId="4828208E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8D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4594A" w14:paraId="48282093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8F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90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(automobiliui)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b/>
                <w:bCs/>
                <w:szCs w:val="24"/>
              </w:rPr>
              <w:t xml:space="preserve"> 60</w:t>
            </w:r>
            <w:r>
              <w:rPr>
                <w:szCs w:val="24"/>
              </w:rPr>
              <w:t xml:space="preserve"> mėnesiai arba ne mažesnis kaip iki 100 000 km ridos (priklausomai nuo to, kas įvyko anksčiau)</w:t>
            </w:r>
            <w:r>
              <w:rPr>
                <w:kern w:val="2"/>
                <w:szCs w:val="24"/>
              </w:rPr>
              <w:t xml:space="preserve">. </w:t>
            </w:r>
          </w:p>
          <w:p w14:paraId="48282091" w14:textId="2E094FA2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Akumuliatorių baterijos Garantinis terminas: </w:t>
            </w:r>
            <w:r>
              <w:rPr>
                <w:kern w:val="2"/>
                <w:szCs w:val="24"/>
              </w:rPr>
              <w:t xml:space="preserve">Tiekėjo pasiūlytas arba Prekių gamintojo taikomas Garantinis terminas akumuliatorių baterijai, tačiau bet kokiu atveju </w:t>
            </w:r>
            <w:r>
              <w:rPr>
                <w:rFonts w:eastAsia="Calibri"/>
                <w:szCs w:val="24"/>
              </w:rPr>
              <w:t xml:space="preserve">ne trumpesnis kaip </w:t>
            </w:r>
            <w:r w:rsidR="005020BE">
              <w:rPr>
                <w:rFonts w:eastAsia="Calibri"/>
                <w:szCs w:val="24"/>
              </w:rPr>
              <w:t>5</w:t>
            </w:r>
            <w:r>
              <w:rPr>
                <w:rFonts w:eastAsia="Calibri"/>
                <w:szCs w:val="24"/>
              </w:rPr>
              <w:t xml:space="preserve"> metai arba ne mažesnis kaip 150 000 km. (priklausomai nuo to, kuri sąlyga bus pasiekta anksčiau).</w:t>
            </w:r>
          </w:p>
          <w:p w14:paraId="48282092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4594A" w14:paraId="48282098" w14:textId="77777777">
        <w:trPr>
          <w:trHeight w:val="300"/>
        </w:trPr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94" w14:textId="77777777" w:rsidR="0054594A" w:rsidRDefault="0063527E">
            <w:pPr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6.2. Garantinė priežiūra</w:t>
            </w:r>
          </w:p>
        </w:tc>
        <w:tc>
          <w:tcPr>
            <w:tcW w:w="68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95" w14:textId="77777777" w:rsidR="0054594A" w:rsidRDefault="0063527E">
            <w:pPr>
              <w:widowControl w:val="0"/>
              <w:jc w:val="both"/>
            </w:pPr>
            <w:r>
              <w:rPr>
                <w:rFonts w:eastAsia="Calibri" w:cs="Arial"/>
                <w:szCs w:val="24"/>
              </w:rPr>
              <w:t>Automobilio techninis aptarnavimas atliekamas visą g</w:t>
            </w:r>
            <w:r>
              <w:rPr>
                <w:rFonts w:eastAsia="Calibri" w:cs="Arial"/>
                <w:kern w:val="2"/>
                <w:szCs w:val="24"/>
              </w:rPr>
              <w:t>arantinį terminą, kaip nurodyta 6.1 punkte, pagal pateiktą grafiką ir atstovų sąrašą.</w:t>
            </w:r>
          </w:p>
          <w:p w14:paraId="48282096" w14:textId="77777777" w:rsidR="0054594A" w:rsidRDefault="0063527E">
            <w:pPr>
              <w:widowControl w:val="0"/>
              <w:jc w:val="both"/>
            </w:pPr>
            <w:r>
              <w:rPr>
                <w:rFonts w:cs="Arial"/>
                <w:kern w:val="2"/>
                <w:szCs w:val="24"/>
              </w:rPr>
              <w:t>Garantinės priežiūros terminas skaičiuojamas nuo Prekių perdavimo–priėmimo akto ar Sąskaitos (kai Prekių perdavimo–priėmimo aktas nėra pasirašomas) pasirašymo dienos.</w:t>
            </w:r>
          </w:p>
          <w:p w14:paraId="48282097" w14:textId="77777777" w:rsidR="0054594A" w:rsidRDefault="0063527E">
            <w:pPr>
              <w:widowControl w:val="0"/>
              <w:jc w:val="both"/>
            </w:pPr>
            <w:r>
              <w:rPr>
                <w:rFonts w:cs="Arial"/>
              </w:rPr>
              <w:t>Prekių trūkumų nustatymo bei šalinimo tvarka nustatyta Bendrųjų sąlygų 7 skyriuje.</w:t>
            </w:r>
          </w:p>
        </w:tc>
      </w:tr>
      <w:tr w:rsidR="0054594A" w14:paraId="4828209C" w14:textId="77777777">
        <w:trPr>
          <w:trHeight w:val="300"/>
        </w:trPr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99" w14:textId="77777777" w:rsidR="0054594A" w:rsidRDefault="0063527E">
            <w:pPr>
              <w:widowControl w:val="0"/>
              <w:rPr>
                <w:rFonts w:cs="Arial"/>
                <w:b/>
                <w:bCs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9A" w14:textId="77777777" w:rsidR="0054594A" w:rsidRDefault="0063527E">
            <w:pPr>
              <w:widowControl w:val="0"/>
              <w:jc w:val="both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Netaikoma.</w:t>
            </w:r>
          </w:p>
          <w:p w14:paraId="4828209B" w14:textId="77777777" w:rsidR="0054594A" w:rsidRDefault="0054594A">
            <w:pPr>
              <w:widowControl w:val="0"/>
              <w:jc w:val="both"/>
              <w:rPr>
                <w:rFonts w:eastAsia="Calibri" w:cs="Arial"/>
                <w:szCs w:val="24"/>
              </w:rPr>
            </w:pPr>
          </w:p>
        </w:tc>
      </w:tr>
      <w:tr w:rsidR="0054594A" w14:paraId="4828209E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9D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4594A" w14:paraId="482820A5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9F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Sutarties vykdymui </w:t>
            </w:r>
            <w:r>
              <w:rPr>
                <w:b/>
                <w:bCs/>
                <w:kern w:val="2"/>
                <w:szCs w:val="24"/>
              </w:rPr>
              <w:lastRenderedPageBreak/>
              <w:t>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A0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Sutarties vykdymui subtiekėjai ir (ar) specialistai nepasitelkiami.</w:t>
            </w:r>
          </w:p>
          <w:p w14:paraId="482820A1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  <w:p w14:paraId="482820A2" w14:textId="77777777" w:rsidR="0054594A" w:rsidRDefault="0063527E">
            <w:pPr>
              <w:widowControl w:val="0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482820A3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  <w:p w14:paraId="482820A4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4594A" w14:paraId="482820A7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A6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54594A" w14:paraId="482820AC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A8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A9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482820AA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482820AB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</w:tr>
      <w:tr w:rsidR="0054594A" w14:paraId="482820B1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AD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AE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2820AF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  <w:p w14:paraId="482820B0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</w:tr>
      <w:tr w:rsidR="0054594A" w14:paraId="482820B5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B2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8.3. Sutarties įvykdymo užtikrinimo pateikimas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B3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2820B4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</w:tr>
      <w:tr w:rsidR="0054594A" w14:paraId="482820B7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B6" w14:textId="77777777" w:rsidR="0054594A" w:rsidRDefault="0063527E">
            <w:pPr>
              <w:widowControl w:val="0"/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4594A" w14:paraId="482820BA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B8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B9" w14:textId="77777777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54594A" w14:paraId="482820BE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BB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BC" w14:textId="77777777" w:rsidR="0054594A" w:rsidRDefault="0063527E">
            <w:pPr>
              <w:widowControl w:val="0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vykdyti užsakymą, tiekti Prekes ar ištaisyti jų trūkumus arba nevykdo kitų sutartinių įsipareigojimų, Pirkėjas nuo kitos nei nustatytas terminas dienos Tiekėjui skaičiuoja </w:t>
            </w:r>
            <w:r>
              <w:rPr>
                <w:kern w:val="2"/>
                <w:szCs w:val="24"/>
              </w:rPr>
              <w:t>0,02 (dvi šimtosios) procento  dydžio delspinigius už kiekvieną uždelstą dieną nuo laiku neperduotų Prekių ar Prekių, turinčių trūkumų, kainos be PVM. </w:t>
            </w:r>
          </w:p>
          <w:p w14:paraId="482820BD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 Tiekėjas privalo sumokėti Pirkėjui netesybas per 1</w:t>
            </w:r>
            <w:r>
              <w:rPr>
                <w:kern w:val="2"/>
                <w:szCs w:val="24"/>
              </w:rPr>
              <w:t xml:space="preserve">0 (dešimt) </w:t>
            </w:r>
            <w:r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54594A" w14:paraId="482820C2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BF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 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C0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10 (dešimt) procentų dydžio bauda nuo Pradinės Sutarties vertės be PVM, nurodytos Specialiųjų sąlygų 5.2 punkte. </w:t>
            </w:r>
          </w:p>
          <w:p w14:paraId="482820C1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</w:tr>
      <w:tr w:rsidR="0054594A" w14:paraId="482820C6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C3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C4" w14:textId="77777777" w:rsidR="0054594A" w:rsidRDefault="0063527E">
            <w:pPr>
              <w:widowControl w:val="0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482820C5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</w:tc>
      </w:tr>
      <w:tr w:rsidR="0054594A" w14:paraId="482820CA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C7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C8" w14:textId="77777777" w:rsidR="0054594A" w:rsidRDefault="0063527E">
            <w:pPr>
              <w:widowControl w:val="0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82820C9" w14:textId="77777777" w:rsidR="0054594A" w:rsidRDefault="0054594A">
            <w:pPr>
              <w:widowControl w:val="0"/>
              <w:rPr>
                <w:color w:val="4472C4"/>
                <w:kern w:val="2"/>
                <w:szCs w:val="24"/>
              </w:rPr>
            </w:pPr>
          </w:p>
        </w:tc>
      </w:tr>
      <w:tr w:rsidR="0054594A" w14:paraId="482820CF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CB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CC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Taikoma 500 (penkių šimtų) eurų dydžio bauda.</w:t>
            </w:r>
          </w:p>
          <w:p w14:paraId="482820CD" w14:textId="77777777" w:rsidR="0054594A" w:rsidRDefault="0054594A">
            <w:pPr>
              <w:widowControl w:val="0"/>
              <w:rPr>
                <w:kern w:val="2"/>
                <w:szCs w:val="24"/>
              </w:rPr>
            </w:pPr>
          </w:p>
          <w:p w14:paraId="482820CE" w14:textId="77777777" w:rsidR="0054594A" w:rsidRDefault="0054594A">
            <w:pPr>
              <w:widowControl w:val="0"/>
              <w:rPr>
                <w:color w:val="4472C4"/>
                <w:kern w:val="2"/>
                <w:szCs w:val="24"/>
              </w:rPr>
            </w:pPr>
          </w:p>
        </w:tc>
      </w:tr>
      <w:tr w:rsidR="0054594A" w14:paraId="482820D3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D0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D1" w14:textId="77777777" w:rsidR="0054594A" w:rsidRDefault="0063527E">
            <w:pPr>
              <w:widowControl w:val="0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82820D2" w14:textId="77777777" w:rsidR="0054594A" w:rsidRDefault="0054594A">
            <w:pPr>
              <w:widowControl w:val="0"/>
              <w:rPr>
                <w:color w:val="4472C4"/>
                <w:kern w:val="2"/>
                <w:szCs w:val="24"/>
              </w:rPr>
            </w:pPr>
          </w:p>
        </w:tc>
      </w:tr>
      <w:tr w:rsidR="0054594A" w14:paraId="482820D7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D4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D5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2820D6" w14:textId="77777777" w:rsidR="0054594A" w:rsidRDefault="0054594A">
            <w:pPr>
              <w:widowControl w:val="0"/>
              <w:rPr>
                <w:color w:val="4472C4"/>
                <w:kern w:val="2"/>
                <w:szCs w:val="24"/>
              </w:rPr>
            </w:pPr>
          </w:p>
        </w:tc>
      </w:tr>
      <w:tr w:rsidR="0054594A" w14:paraId="482820DA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D8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D9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4594A" w14:paraId="482820DD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DB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DC" w14:textId="77777777" w:rsidR="0054594A" w:rsidRDefault="0063527E">
            <w:pPr>
              <w:widowControl w:val="0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4594A" w14:paraId="482820DF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DE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ESMINĖS SUTARTIES SĄLYGOS</w:t>
            </w:r>
          </w:p>
        </w:tc>
      </w:tr>
      <w:tr w:rsidR="0054594A" w14:paraId="482820E6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E0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EFEC" w14:textId="77777777" w:rsidR="009E3B84" w:rsidRDefault="009E3B84" w:rsidP="009E3B84">
            <w:r>
              <w:t xml:space="preserve">10.1.1. </w:t>
            </w:r>
            <w:r w:rsidRPr="00FE2211">
              <w:t>Prekės kaina</w:t>
            </w:r>
            <w:r>
              <w:t>;</w:t>
            </w:r>
          </w:p>
          <w:p w14:paraId="43DBFF2F" w14:textId="77777777" w:rsidR="009E3B84" w:rsidRDefault="009E3B84" w:rsidP="009E3B84">
            <w:r>
              <w:t>10.1.2. Prekės pristatymo terminas;</w:t>
            </w:r>
          </w:p>
          <w:p w14:paraId="482820E3" w14:textId="455EFB48" w:rsidR="0054594A" w:rsidRDefault="009E3B84">
            <w:pPr>
              <w:widowControl w:val="0"/>
              <w:jc w:val="both"/>
              <w:rPr>
                <w:kern w:val="2"/>
                <w:szCs w:val="24"/>
              </w:rPr>
            </w:pPr>
            <w:r>
              <w:t>10.1.3. Prekės atitiktis techninės specifikacijos reikalavimams.</w:t>
            </w:r>
            <w:r w:rsidR="0063527E">
              <w:rPr>
                <w:kern w:val="2"/>
                <w:szCs w:val="24"/>
              </w:rPr>
              <w:t>10.1.</w:t>
            </w:r>
            <w:r>
              <w:rPr>
                <w:kern w:val="2"/>
                <w:szCs w:val="24"/>
              </w:rPr>
              <w:t>4</w:t>
            </w:r>
            <w:r w:rsidR="0063527E">
              <w:rPr>
                <w:kern w:val="2"/>
                <w:szCs w:val="24"/>
              </w:rPr>
              <w:t xml:space="preserve">. Garantinių įsipareigojimų </w:t>
            </w:r>
            <w:r w:rsidR="005816CA">
              <w:rPr>
                <w:kern w:val="2"/>
                <w:szCs w:val="24"/>
              </w:rPr>
              <w:t xml:space="preserve">laikymasis </w:t>
            </w:r>
            <w:r w:rsidR="0063527E">
              <w:rPr>
                <w:kern w:val="2"/>
                <w:szCs w:val="24"/>
              </w:rPr>
              <w:t>.</w:t>
            </w:r>
          </w:p>
          <w:p w14:paraId="482820E4" w14:textId="5FD17128" w:rsidR="0054594A" w:rsidRDefault="0063527E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</w:t>
            </w:r>
            <w:r w:rsidR="005816CA">
              <w:rPr>
                <w:kern w:val="2"/>
                <w:szCs w:val="24"/>
              </w:rPr>
              <w:t>5</w:t>
            </w:r>
            <w:r>
              <w:rPr>
                <w:kern w:val="2"/>
                <w:szCs w:val="24"/>
              </w:rPr>
              <w:t xml:space="preserve">. Techninio aptarnavimo </w:t>
            </w:r>
            <w:r w:rsidR="005816CA">
              <w:rPr>
                <w:kern w:val="2"/>
                <w:szCs w:val="24"/>
              </w:rPr>
              <w:t>tinkamas atlikimas</w:t>
            </w:r>
            <w:r>
              <w:rPr>
                <w:kern w:val="2"/>
                <w:szCs w:val="24"/>
              </w:rPr>
              <w:t>.</w:t>
            </w:r>
          </w:p>
          <w:p w14:paraId="482820E5" w14:textId="4DE36C18" w:rsidR="0054594A" w:rsidRDefault="0054594A">
            <w:pPr>
              <w:widowControl w:val="0"/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54594A" w14:paraId="482820EA" w14:textId="77777777">
        <w:trPr>
          <w:trHeight w:val="30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E7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6284" w14:textId="77777777" w:rsidR="008E6F07" w:rsidRDefault="008E6F07" w:rsidP="008E6F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10.2.1. Vėlavimas pristatyti prekę ilgiau nei 30 (trisdešimt) dienų;</w:t>
            </w:r>
          </w:p>
          <w:p w14:paraId="1FB6140D" w14:textId="0167137B" w:rsidR="0054594A" w:rsidRDefault="008E6F07">
            <w:pPr>
              <w:widowControl w:val="0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10.2.2. Vėlavimas ištaisyti nustatytus prekės trūkumus ilgiau nei 30 (trisdešimt) dienų</w:t>
            </w:r>
          </w:p>
          <w:p w14:paraId="482820E9" w14:textId="053194F6" w:rsidR="008E6F07" w:rsidRDefault="008E6F07">
            <w:pPr>
              <w:widowControl w:val="0"/>
              <w:jc w:val="both"/>
              <w:rPr>
                <w:kern w:val="2"/>
                <w:szCs w:val="24"/>
              </w:rPr>
            </w:pPr>
          </w:p>
        </w:tc>
      </w:tr>
      <w:tr w:rsidR="0054594A" w14:paraId="482820EC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EB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GALIOJIMAS IR KEITIMAS</w:t>
            </w:r>
          </w:p>
        </w:tc>
      </w:tr>
      <w:tr w:rsidR="0054594A" w14:paraId="482820F0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ED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EE" w14:textId="77777777" w:rsidR="0054594A" w:rsidRDefault="0063527E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82820EF" w14:textId="77777777" w:rsidR="0054594A" w:rsidRDefault="0063527E">
            <w:pPr>
              <w:widowControl w:val="0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>
              <w:rPr>
                <w:kern w:val="2"/>
                <w:szCs w:val="24"/>
              </w:rPr>
              <w:t>.</w:t>
            </w:r>
          </w:p>
        </w:tc>
      </w:tr>
      <w:tr w:rsidR="0054594A" w14:paraId="482820F3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F1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F2" w14:textId="77777777" w:rsidR="0054594A" w:rsidRDefault="0063527E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2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4594A" w14:paraId="482820F5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F4" w14:textId="77777777" w:rsidR="0054594A" w:rsidRDefault="0063527E">
            <w:pPr>
              <w:widowControl w:val="0"/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54594A" w14:paraId="482820F8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F6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F7" w14:textId="77777777" w:rsidR="0054594A" w:rsidRDefault="0063527E">
            <w:pPr>
              <w:widowControl w:val="0"/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4594A" w14:paraId="482820FD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F9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 Esminiai Sutarties pažeidimai</w:t>
            </w:r>
          </w:p>
          <w:p w14:paraId="482820FA" w14:textId="77777777" w:rsidR="0054594A" w:rsidRDefault="0054594A">
            <w:pPr>
              <w:widowControl w:val="0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B262" w14:textId="77777777" w:rsidR="00D352A3" w:rsidRPr="000A09CD" w:rsidRDefault="00D352A3" w:rsidP="00D352A3">
            <w:r w:rsidRPr="000A09CD">
              <w:t>12.2.1. jeigu Tiekėjas nevykdo prisiimtų įsipareigojimų už Sutartyje nustatytą Sutarties kainą;</w:t>
            </w:r>
          </w:p>
          <w:p w14:paraId="19099ECD" w14:textId="0D4FDE62" w:rsidR="00D352A3" w:rsidRPr="000A09CD" w:rsidRDefault="00D352A3" w:rsidP="00D352A3">
            <w:pPr>
              <w:rPr>
                <w:rFonts w:eastAsia="Arial"/>
              </w:rPr>
            </w:pPr>
            <w:r w:rsidRPr="000A09CD">
              <w:rPr>
                <w:rFonts w:eastAsia="Arial"/>
              </w:rPr>
              <w:t>12.2.</w:t>
            </w:r>
            <w:r>
              <w:rPr>
                <w:rFonts w:eastAsia="Arial"/>
              </w:rPr>
              <w:t>2</w:t>
            </w:r>
            <w:r w:rsidRPr="000A09CD">
              <w:rPr>
                <w:rFonts w:eastAsia="Arial"/>
              </w:rPr>
              <w:t xml:space="preserve">. jeigu Tiekėjas nesilaiko Sutartyje nustatytų Prekių tiekimo terminų - vėluoja pristatyti Prekes daugiau nei </w:t>
            </w:r>
            <w:r w:rsidRPr="000A09CD">
              <w:t xml:space="preserve">60 (šešiasdešimt) </w:t>
            </w:r>
            <w:r w:rsidRPr="000A09CD">
              <w:rPr>
                <w:rFonts w:eastAsia="Arial"/>
              </w:rPr>
              <w:t>Sutartyje nustatytas Prekių pristatymo terminas;</w:t>
            </w:r>
          </w:p>
          <w:p w14:paraId="211DE80E" w14:textId="1A211334" w:rsidR="00D352A3" w:rsidRPr="000A09CD" w:rsidRDefault="00D352A3" w:rsidP="00D352A3">
            <w:pPr>
              <w:rPr>
                <w:rFonts w:eastAsia="Arial"/>
              </w:rPr>
            </w:pPr>
            <w:r w:rsidRPr="000A09CD">
              <w:rPr>
                <w:rFonts w:eastAsia="Arial"/>
              </w:rPr>
              <w:t>12.2.</w:t>
            </w:r>
            <w:r>
              <w:rPr>
                <w:rFonts w:eastAsia="Arial"/>
              </w:rPr>
              <w:t>3</w:t>
            </w:r>
            <w:r w:rsidRPr="000A09CD">
              <w:rPr>
                <w:rFonts w:eastAsia="Arial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135C22CD" w14:textId="1D6E2F59" w:rsidR="00D352A3" w:rsidRPr="000A09CD" w:rsidRDefault="00D352A3" w:rsidP="00D352A3">
            <w:pPr>
              <w:rPr>
                <w:rFonts w:eastAsia="Arial"/>
              </w:rPr>
            </w:pPr>
            <w:r w:rsidRPr="000A09CD">
              <w:rPr>
                <w:rFonts w:eastAsia="Arial"/>
              </w:rPr>
              <w:t>12.2.</w:t>
            </w:r>
            <w:r>
              <w:rPr>
                <w:rFonts w:eastAsia="Arial"/>
              </w:rPr>
              <w:t>4</w:t>
            </w:r>
            <w:r w:rsidRPr="000A09CD">
              <w:rPr>
                <w:rFonts w:eastAsia="Arial"/>
              </w:rPr>
              <w:t>. Tiekėjas pažeidžia Prekių pristatymo terminus ir dėl Prekių pristatymo vėlavimo Prekės tampa nebereikalingos;</w:t>
            </w:r>
          </w:p>
          <w:p w14:paraId="50AFD169" w14:textId="4411E5E1" w:rsidR="00D352A3" w:rsidRPr="000A09CD" w:rsidRDefault="00D352A3" w:rsidP="00D352A3">
            <w:pPr>
              <w:rPr>
                <w:rFonts w:eastAsia="Arial"/>
              </w:rPr>
            </w:pPr>
            <w:r w:rsidRPr="000A09CD">
              <w:rPr>
                <w:rFonts w:eastAsia="Arial"/>
              </w:rPr>
              <w:t>12.2.</w:t>
            </w:r>
            <w:r>
              <w:rPr>
                <w:rFonts w:eastAsia="Arial"/>
              </w:rPr>
              <w:t>5</w:t>
            </w:r>
            <w:r w:rsidRPr="000A09CD">
              <w:rPr>
                <w:rFonts w:eastAsia="Arial"/>
              </w:rPr>
              <w:t>. Tiekėjas daugiau kaip 2 (du) kartus pristato Prekes, kurios neatitinka Sutartyje nustatytų reikalavimų Prekėms;</w:t>
            </w:r>
          </w:p>
          <w:p w14:paraId="0401992B" w14:textId="4B916488" w:rsidR="00D352A3" w:rsidRPr="000A09CD" w:rsidRDefault="00D352A3" w:rsidP="00D352A3">
            <w:pPr>
              <w:rPr>
                <w:rFonts w:eastAsia="Arial"/>
              </w:rPr>
            </w:pPr>
            <w:r w:rsidRPr="000A09CD">
              <w:rPr>
                <w:rFonts w:eastAsia="Arial"/>
              </w:rPr>
              <w:t>12.2.</w:t>
            </w:r>
            <w:r>
              <w:rPr>
                <w:rFonts w:eastAsia="Arial"/>
              </w:rPr>
              <w:t>6</w:t>
            </w:r>
            <w:r w:rsidRPr="000A09CD">
              <w:rPr>
                <w:rFonts w:eastAsia="Arial"/>
              </w:rPr>
              <w:t>. Tiekėjas pažeidžia šios Sutarties nuostatas, reglamentuojančias konkurenciją, intelektinės nuosavybės ar konfidencialios informacijos valdymą;</w:t>
            </w:r>
          </w:p>
          <w:p w14:paraId="482820FC" w14:textId="2934FD48" w:rsidR="0054594A" w:rsidRDefault="00D352A3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2" w:lineRule="auto"/>
              <w:jc w:val="both"/>
              <w:rPr>
                <w:rFonts w:eastAsia="Arial"/>
                <w:kern w:val="2"/>
                <w:szCs w:val="24"/>
              </w:rPr>
            </w:pPr>
            <w:r w:rsidRPr="000A09CD">
              <w:rPr>
                <w:rFonts w:eastAsia="Arial"/>
              </w:rPr>
              <w:t>12.2.</w:t>
            </w:r>
            <w:r>
              <w:rPr>
                <w:rFonts w:eastAsia="Arial"/>
              </w:rPr>
              <w:t>7</w:t>
            </w:r>
            <w:r w:rsidRPr="000A09CD">
              <w:rPr>
                <w:rFonts w:eastAsia="Arial"/>
              </w:rPr>
              <w:t>. Tiekėjas 2 (du) kartus pažeidžia esminę Sutarties sąlygą.</w:t>
            </w:r>
          </w:p>
        </w:tc>
      </w:tr>
      <w:tr w:rsidR="0054594A" w14:paraId="482820FF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0FE" w14:textId="77777777" w:rsidR="0054594A" w:rsidRDefault="0063527E">
            <w:pPr>
              <w:widowControl w:val="0"/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 APLINKOSAUGINIAI IR SOCIALINIAI KRITERIJAI</w:t>
            </w:r>
          </w:p>
        </w:tc>
      </w:tr>
      <w:tr w:rsidR="0054594A" w14:paraId="48282102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00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 Aplinkosauginių kriterijų nustatymo teisinis pagrindas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01" w14:textId="77777777" w:rsidR="0054594A" w:rsidRDefault="0063527E">
            <w:pPr>
              <w:widowControl w:val="0"/>
              <w:suppressAutoHyphens w:val="0"/>
              <w:spacing w:beforeAutospacing="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Aplinkosauginiai kriterijai Prekei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 (toliau – Tvarkos aprašas). Aplinkosauginiai kriterijai nustatyti pagal Tvarkos aprašo 2 priedo 10 skyriaus 10 punkto 10.1.1 papunktį. Tiekėjai turi siūlyti tik netaršias transporto priemones, kaip jos apibrėžiamos Lietuvos Respublikos alternatyviųjų degalų įstatymo 2 straipsnio 11 dalyje, t. y. M1 kategorijos transporto priemones – elektromobilius, tai yra motorines transporto priemones, kuriose sumontuota jėgos pavara, </w:t>
            </w:r>
            <w:r>
              <w:rPr>
                <w:szCs w:val="24"/>
              </w:rPr>
              <w:lastRenderedPageBreak/>
              <w:t>turinti bent vieną ne išorinį elektros energijos keitiklį su elektrine įkraunamąja energijos kaupimo sistema, kurią galima įkrauti iš išorės.</w:t>
            </w:r>
          </w:p>
        </w:tc>
      </w:tr>
      <w:tr w:rsidR="0054594A" w14:paraId="48282107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03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 Su perkamomis Prekėmis susiję socialiniai kriterijai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04" w14:textId="77777777" w:rsidR="0054594A" w:rsidRDefault="0063527E">
            <w:pPr>
              <w:widowControl w:val="0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48282105" w14:textId="77777777" w:rsidR="0054594A" w:rsidRDefault="0054594A">
            <w:pPr>
              <w:widowControl w:val="0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8282106" w14:textId="77777777" w:rsidR="0054594A" w:rsidRDefault="0054594A">
            <w:pPr>
              <w:widowControl w:val="0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4594A" w14:paraId="4828210A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08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 BENDRŲJŲ SĄLYGŲ PAKEITIMAI IR PAPILDYMAI </w:t>
            </w:r>
          </w:p>
          <w:p w14:paraId="48282109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(jeigu būtina dėl konkretaus Sutarties dalyko specifikos)</w:t>
            </w:r>
          </w:p>
        </w:tc>
      </w:tr>
      <w:tr w:rsidR="0054594A" w14:paraId="4828210D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0B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0C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54594A" w14:paraId="48282110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0E" w14:textId="77777777" w:rsidR="0054594A" w:rsidRDefault="0054594A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0F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SUTARTIES PRIEDAI</w:t>
            </w:r>
          </w:p>
        </w:tc>
      </w:tr>
      <w:tr w:rsidR="0054594A" w14:paraId="48282113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11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 Priedas Nr. 1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12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4594A" w14:paraId="48282116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14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 Priedas Nr. 2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15" w14:textId="77777777" w:rsidR="0054594A" w:rsidRDefault="0063527E">
            <w:pPr>
              <w:widowControl w:val="0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4594A" w14:paraId="48282118" w14:textId="77777777"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17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4594A" w14:paraId="4828211B" w14:textId="77777777"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19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1A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4594A" w14:paraId="4828211E" w14:textId="77777777"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1C" w14:textId="77777777" w:rsidR="0054594A" w:rsidRDefault="0063527E">
            <w:pPr>
              <w:widowControl w:val="0"/>
              <w:tabs>
                <w:tab w:val="left" w:pos="1260"/>
              </w:tabs>
              <w:rPr>
                <w:b/>
                <w:bCs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1D" w14:textId="77777777" w:rsidR="0054594A" w:rsidRDefault="0063527E">
            <w:pPr>
              <w:widowControl w:val="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4594A" w14:paraId="48282127" w14:textId="77777777"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1F" w14:textId="77777777" w:rsidR="0054594A" w:rsidRDefault="0054594A">
            <w:pPr>
              <w:widowControl w:val="0"/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8282120" w14:textId="77777777" w:rsidR="0054594A" w:rsidRDefault="0054594A">
            <w:pPr>
              <w:widowControl w:val="0"/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8282121" w14:textId="77777777" w:rsidR="0054594A" w:rsidRDefault="0063527E">
            <w:pPr>
              <w:widowControl w:val="0"/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48282122" w14:textId="77777777" w:rsidR="0054594A" w:rsidRDefault="0054594A">
            <w:pPr>
              <w:widowControl w:val="0"/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8282123" w14:textId="77777777" w:rsidR="0054594A" w:rsidRDefault="0054594A">
            <w:pPr>
              <w:widowControl w:val="0"/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2124" w14:textId="77777777" w:rsidR="0054594A" w:rsidRDefault="0054594A">
            <w:pPr>
              <w:widowControl w:val="0"/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8282125" w14:textId="77777777" w:rsidR="0054594A" w:rsidRDefault="0054594A">
            <w:pPr>
              <w:widowControl w:val="0"/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8282126" w14:textId="77777777" w:rsidR="0054594A" w:rsidRDefault="0063527E">
            <w:pPr>
              <w:widowControl w:val="0"/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8282128" w14:textId="77777777" w:rsidR="0054594A" w:rsidRDefault="0063527E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</w:t>
      </w:r>
    </w:p>
    <w:p w14:paraId="48282129" w14:textId="77777777" w:rsidR="0054594A" w:rsidRDefault="0054594A">
      <w:pPr>
        <w:jc w:val="center"/>
        <w:rPr>
          <w:szCs w:val="24"/>
        </w:rPr>
      </w:pPr>
      <w:bookmarkStart w:id="0" w:name="page17"/>
      <w:bookmarkEnd w:id="0"/>
    </w:p>
    <w:sectPr w:rsidR="005459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59" w:right="567" w:bottom="1797" w:left="1701" w:header="709" w:footer="720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3412" w14:textId="77777777" w:rsidR="00207C8C" w:rsidRDefault="00207C8C">
      <w:r>
        <w:separator/>
      </w:r>
    </w:p>
  </w:endnote>
  <w:endnote w:type="continuationSeparator" w:id="0">
    <w:p w14:paraId="3DEAA339" w14:textId="77777777" w:rsidR="00207C8C" w:rsidRDefault="0020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212D" w14:textId="77777777" w:rsidR="0054594A" w:rsidRDefault="0054594A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212E" w14:textId="77777777" w:rsidR="0054594A" w:rsidRDefault="0054594A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2130" w14:textId="77777777" w:rsidR="0054594A" w:rsidRDefault="0054594A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6DE4" w14:textId="77777777" w:rsidR="00207C8C" w:rsidRDefault="00207C8C">
      <w:r>
        <w:separator/>
      </w:r>
    </w:p>
  </w:footnote>
  <w:footnote w:type="continuationSeparator" w:id="0">
    <w:p w14:paraId="4D5CC777" w14:textId="77777777" w:rsidR="00207C8C" w:rsidRDefault="00207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212A" w14:textId="77777777" w:rsidR="0054594A" w:rsidRDefault="0054594A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828212B" w14:textId="77777777" w:rsidR="0054594A" w:rsidRDefault="005459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212C" w14:textId="77777777" w:rsidR="0054594A" w:rsidRDefault="0063527E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212F" w14:textId="77777777" w:rsidR="0054594A" w:rsidRDefault="0054594A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4A"/>
    <w:rsid w:val="00070EF9"/>
    <w:rsid w:val="0017149A"/>
    <w:rsid w:val="001F4769"/>
    <w:rsid w:val="001F75D5"/>
    <w:rsid w:val="00207C8C"/>
    <w:rsid w:val="00350D97"/>
    <w:rsid w:val="003D6D83"/>
    <w:rsid w:val="00412F5B"/>
    <w:rsid w:val="00416941"/>
    <w:rsid w:val="00440968"/>
    <w:rsid w:val="005020BE"/>
    <w:rsid w:val="0054594A"/>
    <w:rsid w:val="00550268"/>
    <w:rsid w:val="005816CA"/>
    <w:rsid w:val="0063527E"/>
    <w:rsid w:val="00656CB0"/>
    <w:rsid w:val="007054AC"/>
    <w:rsid w:val="00742EAF"/>
    <w:rsid w:val="00774717"/>
    <w:rsid w:val="007D31A7"/>
    <w:rsid w:val="0087773A"/>
    <w:rsid w:val="008A5FA9"/>
    <w:rsid w:val="008E6F07"/>
    <w:rsid w:val="009E3B84"/>
    <w:rsid w:val="00A07E0C"/>
    <w:rsid w:val="00B50C43"/>
    <w:rsid w:val="00BA1D42"/>
    <w:rsid w:val="00C24453"/>
    <w:rsid w:val="00D352A3"/>
    <w:rsid w:val="00E1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1FB7"/>
  <w15:docId w15:val="{66F468AA-652F-458B-8178-7361C1D5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30E2D"/>
    <w:rPr>
      <w:color w:val="0563C1" w:themeColor="hyperlink"/>
      <w:u w:val="single"/>
    </w:rPr>
  </w:style>
  <w:style w:type="character" w:customStyle="1" w:styleId="Galinsinaosramenys">
    <w:name w:val="Galinės išnašos rašmenys"/>
    <w:qFormat/>
  </w:style>
  <w:style w:type="character" w:styleId="Komentaronuoroda">
    <w:name w:val="annotation reference"/>
    <w:basedOn w:val="Numatytasispastraiposriftas"/>
    <w:semiHidden/>
    <w:unhideWhenUsed/>
    <w:qFormat/>
    <w:rsid w:val="00021693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021693"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021693"/>
    <w:rPr>
      <w:b/>
      <w:bCs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E0426A"/>
    <w:rPr>
      <w:color w:val="605E5C"/>
      <w:shd w:val="clear" w:color="auto" w:fill="E1DFDD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850DD9"/>
    <w:rPr>
      <w:rFonts w:ascii="Arial" w:eastAsia="Arial" w:hAnsi="Arial" w:cs="Arial"/>
      <w:color w:val="000000"/>
      <w:lang w:eastAsia="lt-L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27B7F"/>
    <w:pPr>
      <w:textAlignment w:val="baseline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uslapinantratirporat"/>
  </w:style>
  <w:style w:type="paragraph" w:styleId="Porat">
    <w:name w:val="footer"/>
    <w:basedOn w:val="Puslapinantratirporat"/>
  </w:style>
  <w:style w:type="paragraph" w:styleId="Paantrat">
    <w:name w:val="Subtitle"/>
    <w:basedOn w:val="prastasis"/>
    <w:next w:val="prastasis"/>
    <w:qFormat/>
    <w:rPr>
      <w:rFonts w:ascii="Cambria" w:hAnsi="Cambria"/>
      <w:i/>
      <w:iCs/>
      <w:color w:val="4F81BD"/>
      <w:spacing w:val="15"/>
      <w:szCs w:val="24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nhideWhenUsed/>
    <w:qFormat/>
    <w:rsid w:val="0002169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021693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850DD9"/>
    <w:pPr>
      <w:spacing w:line="276" w:lineRule="auto"/>
      <w:ind w:left="720"/>
      <w:contextualSpacing/>
    </w:pPr>
    <w:rPr>
      <w:rFonts w:ascii="Arial" w:eastAsia="Arial" w:hAnsi="Arial" w:cs="Arial"/>
      <w:color w:val="000000"/>
      <w:lang w:eastAsia="lt-LT"/>
    </w:rPr>
  </w:style>
  <w:style w:type="paragraph" w:styleId="Pataisymai">
    <w:name w:val="Revision"/>
    <w:hidden/>
    <w:semiHidden/>
    <w:rsid w:val="009E3B84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b8221-638d-4e18-aa16-bc8c262455c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F2135E7975C714DB6764D954E513FF9" ma:contentTypeVersion="12" ma:contentTypeDescription="Kurkite naują dokumentą." ma:contentTypeScope="" ma:versionID="cdbe1a7f52ca6b516059bb7cebb00a7f">
  <xsd:schema xmlns:xsd="http://www.w3.org/2001/XMLSchema" xmlns:xs="http://www.w3.org/2001/XMLSchema" xmlns:p="http://schemas.microsoft.com/office/2006/metadata/properties" xmlns:ns2="9c3b8221-638d-4e18-aa16-bc8c262455c4" targetNamespace="http://schemas.microsoft.com/office/2006/metadata/properties" ma:root="true" ma:fieldsID="305e3e235b94a7875791d3b6de69be60" ns2:_="">
    <xsd:import namespace="9c3b8221-638d-4e18-aa16-bc8c26245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b8221-638d-4e18-aa16-bc8c26245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2CA27-4FE1-4087-A08A-B688DA4BC1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9c3b8221-638d-4e18-aa16-bc8c262455c4"/>
  </ds:schemaRefs>
</ds:datastoreItem>
</file>

<file path=customXml/itemProps4.xml><?xml version="1.0" encoding="utf-8"?>
<ds:datastoreItem xmlns:ds="http://schemas.openxmlformats.org/officeDocument/2006/customXml" ds:itemID="{9B1455D4-B307-4572-B3F6-C4847C1EB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1620</Words>
  <Characters>11533</Characters>
  <Application>Microsoft Office Word</Application>
  <DocSecurity>0</DocSecurity>
  <Lines>501</Lines>
  <Paragraphs>189</Paragraphs>
  <ScaleCrop>false</ScaleCrop>
  <Company>VPT</Company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Vitkauskienė</dc:creator>
  <dc:description/>
  <cp:lastModifiedBy>Jūratė Buivydienė</cp:lastModifiedBy>
  <cp:revision>19</cp:revision>
  <dcterms:created xsi:type="dcterms:W3CDTF">2025-08-26T13:50:00Z</dcterms:created>
  <dcterms:modified xsi:type="dcterms:W3CDTF">2026-02-02T09:37:00Z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0x010100EF2135E7975C714DB6764D954E513FF9</vt:lpwstr>
  </property>
  <property fmtid="{D5CDD505-2E9C-101B-9397-08002B2CF9AE}" pid="3" name="MediaServiceImageTags">
    <vt:lpwstr/>
  </property>
</Properties>
</file>