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41671B60" w14:textId="77777777" w:rsidR="001C17D1" w:rsidRDefault="001C17D1" w:rsidP="00A13693">
      <w:pPr>
        <w:rPr>
          <w:rFonts w:ascii="Calibri" w:hAnsi="Calibri"/>
          <w:sz w:val="22"/>
          <w:szCs w:val="22"/>
        </w:rPr>
      </w:pPr>
    </w:p>
    <w:p w14:paraId="4BCBB3E3" w14:textId="77777777" w:rsidR="00A13693" w:rsidRDefault="00A13693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74080C45" w14:textId="46B268F0" w:rsidR="00FB2D7E" w:rsidRDefault="00FB2D7E" w:rsidP="00A13693">
      <w:pPr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8179B0">
        <w:rPr>
          <w:rFonts w:ascii="Calibri" w:hAnsi="Calibri"/>
          <w:b/>
          <w:bCs/>
          <w:sz w:val="22"/>
          <w:szCs w:val="22"/>
        </w:rPr>
        <w:t>US</w:t>
      </w:r>
    </w:p>
    <w:p w14:paraId="682723E7" w14:textId="77777777" w:rsidR="001C17D1" w:rsidRDefault="001C17D1" w:rsidP="00A136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C901295" w14:textId="77777777" w:rsidR="00BC5A91" w:rsidRDefault="00BC5A91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0DF01918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D370D0" w:rsidRPr="00D370D0">
        <w:rPr>
          <w:rFonts w:ascii="Calibri" w:hAnsi="Calibri"/>
          <w:sz w:val="22"/>
          <w:szCs w:val="22"/>
        </w:rPr>
        <w:t>Bendrovės direktorių ir vadovų civilinės atsakomybės draudimo paslaugų pirkimą (pirkimo ID. 6723758 CVP IS)</w:t>
      </w:r>
      <w:r w:rsidR="00D370D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ir gavo klausim</w:t>
      </w:r>
      <w:r w:rsidR="008179B0">
        <w:rPr>
          <w:rFonts w:ascii="Calibri" w:hAnsi="Calibri"/>
          <w:sz w:val="22"/>
          <w:szCs w:val="22"/>
        </w:rPr>
        <w:t>ų</w:t>
      </w:r>
      <w:r>
        <w:rPr>
          <w:rFonts w:ascii="Calibri" w:hAnsi="Calibri"/>
          <w:sz w:val="22"/>
          <w:szCs w:val="22"/>
        </w:rPr>
        <w:t>.</w:t>
      </w:r>
    </w:p>
    <w:p w14:paraId="2383EA4A" w14:textId="1813E408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8179B0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8179B0">
        <w:rPr>
          <w:rFonts w:ascii="Calibri" w:hAnsi="Calibri"/>
          <w:sz w:val="22"/>
          <w:szCs w:val="22"/>
        </w:rPr>
        <w:t>us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8179B0">
        <w:rPr>
          <w:rFonts w:ascii="Calibri" w:hAnsi="Calibri"/>
          <w:sz w:val="22"/>
          <w:szCs w:val="22"/>
        </w:rPr>
        <w:t>us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8179B0">
        <w:rPr>
          <w:rFonts w:ascii="Calibri" w:hAnsi="Calibri"/>
          <w:sz w:val="22"/>
          <w:szCs w:val="22"/>
        </w:rPr>
        <w:t>uos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3827"/>
        <w:gridCol w:w="5380"/>
      </w:tblGrid>
      <w:tr w:rsidR="00113D04" w:rsidRPr="00113D04" w14:paraId="7A3B7C8E" w14:textId="77777777">
        <w:trPr>
          <w:trHeight w:val="3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E7CAF" w14:textId="77777777" w:rsidR="00113D04" w:rsidRPr="00113D04" w:rsidRDefault="00113D04" w:rsidP="00113D04">
            <w:pPr>
              <w:ind w:right="-106" w:hanging="110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Hlk163043725"/>
            <w:r w:rsidRPr="00113D0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2962" w14:textId="77777777" w:rsidR="00113D04" w:rsidRPr="00113D04" w:rsidRDefault="00113D04" w:rsidP="00113D0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5FB" w14:textId="77777777" w:rsidR="00113D04" w:rsidRPr="00113D04" w:rsidRDefault="00113D04" w:rsidP="00113D0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113D04" w:rsidRPr="00113D04" w14:paraId="33AE31AF" w14:textId="77777777">
        <w:trPr>
          <w:trHeight w:val="10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53A3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7E63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7F48491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Kadangi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šiuo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galutiniai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finansiniai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rodikliai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nėra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patvirtinti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o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siekiant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objektyviai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įvertinti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riziką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pateikti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ekonomiškai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naudingiausią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pasiūlymą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būtų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reikalinga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2025m.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finansinė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ataskaita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atsižvelgdami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į tai,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prašytume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  <w:p w14:paraId="6A8E7807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pratęsti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pasiūlymo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pateikimo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terminą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iki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2026-03-27, kai bus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parengti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patvirtinti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2025 m.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finansiniai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duomenys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o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šiame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etape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pateikti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preliminarius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2025 m.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finansinius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duomenis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769F9E13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3091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24D419A6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Perkančioji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organizacija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prat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</w:rPr>
              <w:t>ęsia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</w:rPr>
              <w:t xml:space="preserve"> pasiūlymų pateikimo terminą iki </w:t>
            </w:r>
            <w:r w:rsidRPr="00113D04">
              <w:rPr>
                <w:rFonts w:ascii="Calibri" w:hAnsi="Calibri" w:cs="Calibri"/>
                <w:b/>
                <w:sz w:val="22"/>
                <w:szCs w:val="22"/>
              </w:rPr>
              <w:t>2026 m. kovo 27 d. 14 val.</w:t>
            </w:r>
            <w:r w:rsidRPr="00113D04">
              <w:rPr>
                <w:rFonts w:ascii="Calibri" w:hAnsi="Calibri" w:cs="Calibri"/>
                <w:sz w:val="22"/>
                <w:szCs w:val="22"/>
              </w:rPr>
              <w:t xml:space="preserve"> Preliminarių finansinių duomenų už 2025 m. Perkančioji organizacija neteiks, tačiau informuoja, kad šį mėnesį finansinės ataskaitos bus paskelbtos viešai.</w:t>
            </w:r>
          </w:p>
          <w:p w14:paraId="77E8A927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3D04" w:rsidRPr="00113D04" w14:paraId="68A17BDD" w14:textId="77777777">
        <w:trPr>
          <w:trHeight w:val="10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CB6F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863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</w:rPr>
              <w:t>Kokių veiksmų buvo imtasi, kad išvengtumėte pretenzijų, susijusių su darbo santykiais?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0B6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Pagal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vyraujančią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praktiką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ginčai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Bendrovėje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dėl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santykių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dažniausiai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(ne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visada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kyla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dėl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santykių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darbuotojais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nutraukimo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nustačius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tvarkos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taisyklių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pažeidimus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įvykus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struktūriniams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pokyčiams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kai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funkcijos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tampa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nebereikalingomis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kt.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Nustačius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galimus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tvarkos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taisyklių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pažeidimus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Bendrovė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laikosi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vidiniuose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teisės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aktuose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nustatytų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procedūrų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prašo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pateikti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paaiškinimus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prireikus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sudaroma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tyrimo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komisija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atliekami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kiti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veiksmai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Tyrimo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nustačius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kad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tvarkos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pažeidimas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yra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pagrįstas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turi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būti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taikoma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griežčiausia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poveikio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priemonė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santykių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nutraukimas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Bendrovė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suprasdama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kad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tokia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priemonė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sukelia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didžiausia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neigiamas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pasekmes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abiems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pusėms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stengiasi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santykius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baigti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taikiu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keliu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Nepavykus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rasti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abiems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šalims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priimtino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santykių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nutraukimo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būdo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kyla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ginčas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2020 m.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buvo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ginčų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dėl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Bendrovėje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vykdytų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struktūrinių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pokyčių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kai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funkcijos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tapo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nebereikalingomis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dėl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tuo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buvusios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pandemijos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Kadangi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tuo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buvo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uždraustos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kelionės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visame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pasaulyje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pereita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prie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nuotolinio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metodų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kai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kurių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funkcijos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tapo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neaktualios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neišvengiamai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reikėjo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daryti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struktūrinius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pokyčius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Darbuotojams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buvo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pasiūlytos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išeitinės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kompensacijos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kt.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priedai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tačiau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keli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ginčai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vis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tiek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kilo.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Apibendrinant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Bendrovė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visais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atvejais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pirmiausia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stengiasi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kalbėtis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darbuotojais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kuriais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nutraukiamos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Darbo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sutartys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ir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susitarti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taikiai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28EEB4F9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113D04" w:rsidRPr="00113D04" w14:paraId="3D6B1A1F" w14:textId="77777777">
        <w:trPr>
          <w:trHeight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AB19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5A171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</w:rPr>
              <w:t>Kada buvo išrinkti dabartiniai valdybos nariai?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5134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Valdybos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nariai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buvo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paskirti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2022-08-03,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ketverių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metų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kadencijai</w:t>
            </w:r>
            <w:proofErr w:type="spellEnd"/>
            <w:r w:rsidRPr="00113D04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</w:tc>
      </w:tr>
      <w:tr w:rsidR="00113D04" w:rsidRPr="00113D04" w14:paraId="5C1E3EB1" w14:textId="77777777">
        <w:trPr>
          <w:trHeight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F61F" w14:textId="77777777" w:rsidR="00113D04" w:rsidRPr="00113D04" w:rsidRDefault="00113D04" w:rsidP="00113D04">
            <w:pPr>
              <w:rPr>
                <w:rFonts w:ascii="Calibri" w:hAnsi="Calibri" w:cs="Calibri"/>
                <w:sz w:val="22"/>
                <w:szCs w:val="22"/>
              </w:rPr>
            </w:pPr>
            <w:r w:rsidRPr="00113D0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DB74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13D04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</w:rPr>
              <w:t>Prašau, pateikite preliminarius finansinius duomenis už 2025 metus. Ataskaita gali būti neaudituota, nepateikiant aiškinamųjų raštų ir be parašo.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C2F7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D04">
              <w:rPr>
                <w:rFonts w:ascii="Calibri" w:hAnsi="Calibri" w:cs="Calibri"/>
                <w:sz w:val="22"/>
                <w:szCs w:val="22"/>
              </w:rPr>
              <w:t>Preliminarių finansinių duomenų už 2025 m. Perkančioji organizacija neteiks, tačiau informuoja, kad šį mėnesį finansinės ataskaitos bus paskelbtos viešai.</w:t>
            </w:r>
          </w:p>
        </w:tc>
      </w:tr>
      <w:tr w:rsidR="00113D04" w:rsidRPr="00113D04" w14:paraId="18FB6942" w14:textId="77777777">
        <w:trPr>
          <w:trHeight w:val="6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F8A7" w14:textId="77777777" w:rsidR="00113D04" w:rsidRPr="00113D04" w:rsidRDefault="00113D04" w:rsidP="00113D04">
            <w:pPr>
              <w:rPr>
                <w:rFonts w:ascii="Calibri" w:hAnsi="Calibri" w:cs="Calibri"/>
                <w:sz w:val="22"/>
                <w:szCs w:val="22"/>
              </w:rPr>
            </w:pPr>
            <w:r w:rsidRPr="00113D04"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045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</w:rPr>
            </w:pPr>
            <w:r w:rsidRPr="00113D04">
              <w:rPr>
                <w:rFonts w:ascii="Calibri" w:hAnsi="Calibri" w:cs="Calibri"/>
                <w:color w:val="00241A"/>
                <w:sz w:val="22"/>
                <w:szCs w:val="22"/>
                <w:shd w:val="clear" w:color="auto" w:fill="FFFFFF"/>
              </w:rPr>
              <w:t>Kadangi dar nesulaukėme Jūsų atsakymų, prašome pratęsti pasiūlymo pateikimo terminą iki 2026 m. kovo 23 d.</w:t>
            </w:r>
          </w:p>
          <w:p w14:paraId="1744CA59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85A8" w14:textId="77777777" w:rsidR="00113D04" w:rsidRPr="00113D04" w:rsidRDefault="00113D04" w:rsidP="00113D0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13D04">
              <w:rPr>
                <w:rFonts w:ascii="Calibri" w:hAnsi="Calibri" w:cs="Calibri"/>
                <w:sz w:val="22"/>
                <w:szCs w:val="22"/>
              </w:rPr>
              <w:t xml:space="preserve">Perkančioji organizacija pratęsia pasiūlymų pateikimo terminą iki </w:t>
            </w:r>
            <w:r w:rsidRPr="00113D04">
              <w:rPr>
                <w:rFonts w:ascii="Calibri" w:hAnsi="Calibri" w:cs="Calibri"/>
                <w:b/>
                <w:sz w:val="22"/>
                <w:szCs w:val="22"/>
              </w:rPr>
              <w:t>2026 m. kovo 27 d. 14 val.</w:t>
            </w:r>
          </w:p>
        </w:tc>
        <w:bookmarkEnd w:id="0"/>
      </w:tr>
    </w:tbl>
    <w:p w14:paraId="2B815E31" w14:textId="77777777" w:rsidR="00DD3DAA" w:rsidRPr="00D03A31" w:rsidRDefault="00DD3DAA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2D6AC60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D697487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DF143E5" w14:textId="4E585A55" w:rsidR="003776D5" w:rsidRDefault="00B46388" w:rsidP="001C17D1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Viešųjų pirkimų komisijos pirmininkė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0D0">
        <w:rPr>
          <w:rFonts w:ascii="Calibri" w:hAnsi="Calibri"/>
          <w:sz w:val="22"/>
          <w:szCs w:val="22"/>
        </w:rPr>
        <w:t>Aušra Jasukaitienė</w:t>
      </w:r>
      <w:r>
        <w:rPr>
          <w:rFonts w:ascii="Calibri" w:hAnsi="Calibri"/>
          <w:sz w:val="22"/>
          <w:szCs w:val="22"/>
        </w:rPr>
        <w:tab/>
      </w:r>
    </w:p>
    <w:p w14:paraId="181E4E1A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67766D6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520D9A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70004149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090B99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6AC025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E7AA508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sectPr w:rsidR="003776D5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94CE" w14:textId="77777777" w:rsidR="00FF7F5C" w:rsidRDefault="00FF7F5C" w:rsidP="003776D5">
      <w:r>
        <w:separator/>
      </w:r>
    </w:p>
  </w:endnote>
  <w:endnote w:type="continuationSeparator" w:id="0">
    <w:p w14:paraId="589725CA" w14:textId="77777777" w:rsidR="00FF7F5C" w:rsidRDefault="00FF7F5C" w:rsidP="003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800A" w14:textId="77777777" w:rsidR="00FF7F5C" w:rsidRDefault="00FF7F5C" w:rsidP="003776D5">
      <w:r>
        <w:separator/>
      </w:r>
    </w:p>
  </w:footnote>
  <w:footnote w:type="continuationSeparator" w:id="0">
    <w:p w14:paraId="3378BD40" w14:textId="77777777" w:rsidR="00FF7F5C" w:rsidRDefault="00FF7F5C" w:rsidP="003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20418"/>
    <w:rsid w:val="000217A9"/>
    <w:rsid w:val="00021F27"/>
    <w:rsid w:val="00023B21"/>
    <w:rsid w:val="00023F14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1FB2"/>
    <w:rsid w:val="000E55C1"/>
    <w:rsid w:val="000F2289"/>
    <w:rsid w:val="000F78EF"/>
    <w:rsid w:val="00113D04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A6384"/>
    <w:rsid w:val="001B5808"/>
    <w:rsid w:val="001C17D1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18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776D5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452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15B8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0FD3"/>
    <w:rsid w:val="00623B53"/>
    <w:rsid w:val="006311EB"/>
    <w:rsid w:val="00653D35"/>
    <w:rsid w:val="0065461B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04D0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179B0"/>
    <w:rsid w:val="00843481"/>
    <w:rsid w:val="00860FEF"/>
    <w:rsid w:val="008665C9"/>
    <w:rsid w:val="008712CF"/>
    <w:rsid w:val="00877025"/>
    <w:rsid w:val="008843B0"/>
    <w:rsid w:val="00885181"/>
    <w:rsid w:val="00890B07"/>
    <w:rsid w:val="00890FC0"/>
    <w:rsid w:val="00892094"/>
    <w:rsid w:val="00893CE7"/>
    <w:rsid w:val="008B2753"/>
    <w:rsid w:val="008B3842"/>
    <w:rsid w:val="008B4321"/>
    <w:rsid w:val="008C5BF2"/>
    <w:rsid w:val="008D2022"/>
    <w:rsid w:val="008D59B4"/>
    <w:rsid w:val="008E3741"/>
    <w:rsid w:val="008E6498"/>
    <w:rsid w:val="008E6B28"/>
    <w:rsid w:val="00913DBB"/>
    <w:rsid w:val="0091473A"/>
    <w:rsid w:val="0091701C"/>
    <w:rsid w:val="009267D9"/>
    <w:rsid w:val="00937167"/>
    <w:rsid w:val="00941108"/>
    <w:rsid w:val="0094474F"/>
    <w:rsid w:val="00944C81"/>
    <w:rsid w:val="0095172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3693"/>
    <w:rsid w:val="00A15C24"/>
    <w:rsid w:val="00A2170F"/>
    <w:rsid w:val="00A260FE"/>
    <w:rsid w:val="00A42003"/>
    <w:rsid w:val="00A53D5D"/>
    <w:rsid w:val="00A6595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B7C39"/>
    <w:rsid w:val="00AC0624"/>
    <w:rsid w:val="00AD080F"/>
    <w:rsid w:val="00AE38F3"/>
    <w:rsid w:val="00B0318F"/>
    <w:rsid w:val="00B21F3D"/>
    <w:rsid w:val="00B22B36"/>
    <w:rsid w:val="00B24FFE"/>
    <w:rsid w:val="00B275C3"/>
    <w:rsid w:val="00B37936"/>
    <w:rsid w:val="00B4281D"/>
    <w:rsid w:val="00B44606"/>
    <w:rsid w:val="00B46388"/>
    <w:rsid w:val="00B466DA"/>
    <w:rsid w:val="00B47CF7"/>
    <w:rsid w:val="00B60A93"/>
    <w:rsid w:val="00B62568"/>
    <w:rsid w:val="00B674DA"/>
    <w:rsid w:val="00B84F41"/>
    <w:rsid w:val="00B91B2F"/>
    <w:rsid w:val="00B94FFB"/>
    <w:rsid w:val="00B97950"/>
    <w:rsid w:val="00BA1106"/>
    <w:rsid w:val="00BA539E"/>
    <w:rsid w:val="00BA575A"/>
    <w:rsid w:val="00BA798D"/>
    <w:rsid w:val="00BC1EBE"/>
    <w:rsid w:val="00BC2B9F"/>
    <w:rsid w:val="00BC431B"/>
    <w:rsid w:val="00BC5A91"/>
    <w:rsid w:val="00BD1FA6"/>
    <w:rsid w:val="00BE186E"/>
    <w:rsid w:val="00BE6B03"/>
    <w:rsid w:val="00BE6BE3"/>
    <w:rsid w:val="00BF1493"/>
    <w:rsid w:val="00BF2694"/>
    <w:rsid w:val="00C113C4"/>
    <w:rsid w:val="00C16471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C38"/>
    <w:rsid w:val="00CF3F12"/>
    <w:rsid w:val="00D000C7"/>
    <w:rsid w:val="00D03A31"/>
    <w:rsid w:val="00D07B63"/>
    <w:rsid w:val="00D120E3"/>
    <w:rsid w:val="00D152FC"/>
    <w:rsid w:val="00D161B8"/>
    <w:rsid w:val="00D370D0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D3DAA"/>
    <w:rsid w:val="00DE55B7"/>
    <w:rsid w:val="00DF5B6E"/>
    <w:rsid w:val="00E01EA9"/>
    <w:rsid w:val="00E07031"/>
    <w:rsid w:val="00E150D9"/>
    <w:rsid w:val="00E15264"/>
    <w:rsid w:val="00E21DFF"/>
    <w:rsid w:val="00E22AB8"/>
    <w:rsid w:val="00E26AC9"/>
    <w:rsid w:val="00E33B8C"/>
    <w:rsid w:val="00E35C30"/>
    <w:rsid w:val="00E43453"/>
    <w:rsid w:val="00E4707B"/>
    <w:rsid w:val="00E50A6E"/>
    <w:rsid w:val="00E544E8"/>
    <w:rsid w:val="00E60EC0"/>
    <w:rsid w:val="00E62088"/>
    <w:rsid w:val="00E64838"/>
    <w:rsid w:val="00E651E2"/>
    <w:rsid w:val="00E83493"/>
    <w:rsid w:val="00E852DD"/>
    <w:rsid w:val="00E85451"/>
    <w:rsid w:val="00E90F96"/>
    <w:rsid w:val="00E94AB3"/>
    <w:rsid w:val="00E959B8"/>
    <w:rsid w:val="00E97313"/>
    <w:rsid w:val="00E97729"/>
    <w:rsid w:val="00EA0513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211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1ABD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C5A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3C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370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E31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FB1A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13D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31</cp:revision>
  <dcterms:created xsi:type="dcterms:W3CDTF">2024-11-12T07:34:00Z</dcterms:created>
  <dcterms:modified xsi:type="dcterms:W3CDTF">2026-03-12T07:25:00Z</dcterms:modified>
</cp:coreProperties>
</file>