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B0F" w:rsidRDefault="009812D5">
      <w:pPr>
        <w:pStyle w:val="CentrBoldm"/>
        <w:tabs>
          <w:tab w:val="left" w:pos="5940"/>
          <w:tab w:val="left" w:pos="6120"/>
        </w:tabs>
        <w:ind w:left="2880" w:firstLine="360"/>
      </w:pPr>
      <w:r>
        <w:rPr>
          <w:rFonts w:ascii="Calibri" w:hAnsi="Calibri"/>
          <w:sz w:val="24"/>
          <w:lang w:val="lt-LT"/>
        </w:rPr>
        <w:t xml:space="preserve">            </w:t>
      </w:r>
    </w:p>
    <w:p w:rsidR="007E4B0F" w:rsidRDefault="009812D5">
      <w:pPr>
        <w:spacing w:after="0" w:line="240" w:lineRule="auto"/>
        <w:ind w:firstLine="360"/>
        <w:jc w:val="center"/>
        <w:rPr>
          <w:b/>
          <w:sz w:val="24"/>
        </w:rPr>
      </w:pPr>
      <w:r>
        <w:rPr>
          <w:b/>
          <w:sz w:val="24"/>
        </w:rPr>
        <w:t>PREKIŲ PIRKIMO–PARDAVIMO SUTARTIS NR.</w:t>
      </w:r>
      <w:r w:rsidR="007416A5">
        <w:rPr>
          <w:b/>
          <w:sz w:val="24"/>
        </w:rPr>
        <w:t>SUT(DK)-29</w:t>
      </w:r>
    </w:p>
    <w:p w:rsidR="007E4B0F" w:rsidRDefault="007E4B0F">
      <w:pPr>
        <w:spacing w:after="0" w:line="240" w:lineRule="auto"/>
        <w:ind w:firstLine="360"/>
        <w:jc w:val="center"/>
        <w:rPr>
          <w:sz w:val="24"/>
          <w:szCs w:val="24"/>
        </w:rPr>
      </w:pPr>
    </w:p>
    <w:p w:rsidR="007E4B0F" w:rsidRDefault="009812D5">
      <w:pPr>
        <w:spacing w:after="0" w:line="240" w:lineRule="auto"/>
        <w:ind w:firstLine="360"/>
        <w:jc w:val="center"/>
      </w:pPr>
      <w:r>
        <w:rPr>
          <w:sz w:val="24"/>
          <w:szCs w:val="24"/>
        </w:rPr>
        <w:t xml:space="preserve">2019 </w:t>
      </w:r>
      <w:r>
        <w:rPr>
          <w:sz w:val="24"/>
        </w:rPr>
        <w:t xml:space="preserve"> m. birželio  </w:t>
      </w:r>
      <w:r w:rsidR="006756E1">
        <w:rPr>
          <w:sz w:val="24"/>
        </w:rPr>
        <w:t>14</w:t>
      </w:r>
      <w:r>
        <w:rPr>
          <w:sz w:val="24"/>
        </w:rPr>
        <w:t xml:space="preserve">   d.   </w:t>
      </w:r>
    </w:p>
    <w:p w:rsidR="007E4B0F" w:rsidRDefault="009812D5">
      <w:pPr>
        <w:spacing w:after="0" w:line="240" w:lineRule="auto"/>
        <w:ind w:firstLine="360"/>
        <w:jc w:val="center"/>
        <w:rPr>
          <w:sz w:val="24"/>
        </w:rPr>
      </w:pPr>
      <w:r>
        <w:rPr>
          <w:sz w:val="24"/>
        </w:rPr>
        <w:t>Vilnius</w:t>
      </w:r>
    </w:p>
    <w:p w:rsidR="007E4B0F" w:rsidRDefault="007E4B0F">
      <w:pPr>
        <w:spacing w:after="0" w:line="240" w:lineRule="auto"/>
        <w:ind w:firstLine="360"/>
        <w:jc w:val="center"/>
        <w:rPr>
          <w:sz w:val="24"/>
        </w:rPr>
      </w:pPr>
    </w:p>
    <w:p w:rsidR="007E4B0F" w:rsidRDefault="009812D5">
      <w:pPr>
        <w:keepNext/>
        <w:spacing w:after="0" w:line="240" w:lineRule="auto"/>
        <w:ind w:right="-82" w:firstLine="360"/>
        <w:jc w:val="center"/>
        <w:rPr>
          <w:b/>
          <w:sz w:val="24"/>
        </w:rPr>
      </w:pPr>
      <w:bookmarkStart w:id="0" w:name="_Toc438559488"/>
      <w:bookmarkStart w:id="1" w:name="_Toc438559815"/>
      <w:r>
        <w:rPr>
          <w:b/>
          <w:sz w:val="24"/>
        </w:rPr>
        <w:t>SPECIALIOSIOS SĄLYGOS</w:t>
      </w:r>
      <w:bookmarkEnd w:id="0"/>
      <w:bookmarkEnd w:id="1"/>
    </w:p>
    <w:p w:rsidR="007E4B0F" w:rsidRDefault="007E4B0F">
      <w:pPr>
        <w:spacing w:after="0" w:line="240" w:lineRule="auto"/>
        <w:ind w:firstLine="360"/>
        <w:rPr>
          <w:sz w:val="24"/>
        </w:rPr>
      </w:pPr>
    </w:p>
    <w:p w:rsidR="007E4B0F" w:rsidRDefault="009812D5">
      <w:pPr>
        <w:tabs>
          <w:tab w:val="left" w:pos="709"/>
        </w:tabs>
        <w:spacing w:after="0" w:line="240" w:lineRule="auto"/>
        <w:ind w:firstLine="360"/>
        <w:jc w:val="both"/>
      </w:pPr>
      <w:r>
        <w:rPr>
          <w:b/>
        </w:rPr>
        <w:t xml:space="preserve">AB „Lietuvos geležinkeliai“, </w:t>
      </w:r>
      <w:r>
        <w:t xml:space="preserve">juridinio asmens kodas 110053842, atstovaujama, </w:t>
      </w:r>
      <w:r>
        <w:rPr>
          <w:rFonts w:eastAsia="Times New Roman" w:cs="Calibri"/>
        </w:rPr>
        <w:t>generalinio direktoriaus Manto Bartuškos,</w:t>
      </w:r>
      <w:r>
        <w:t xml:space="preserve"> veikiančio pagal </w:t>
      </w:r>
      <w:r>
        <w:rPr>
          <w:rFonts w:eastAsia="Times New Roman" w:cs="Calibri"/>
        </w:rPr>
        <w:t>bendrovės įstatus</w:t>
      </w:r>
      <w:r>
        <w:t xml:space="preserve"> (toliau – </w:t>
      </w:r>
      <w:r>
        <w:rPr>
          <w:b/>
        </w:rPr>
        <w:t>Pirkėjas</w:t>
      </w:r>
      <w:r>
        <w:t xml:space="preserve">), ir </w:t>
      </w:r>
      <w:r>
        <w:rPr>
          <w:rFonts w:eastAsia="Times New Roman" w:cs="Calibri"/>
          <w:b/>
        </w:rPr>
        <w:t>UAB „Alwark“</w:t>
      </w:r>
      <w:r>
        <w:rPr>
          <w:rFonts w:eastAsia="Times New Roman" w:cs="Calibri"/>
          <w:i/>
        </w:rPr>
        <w:t>,</w:t>
      </w:r>
      <w:r>
        <w:rPr>
          <w:b/>
        </w:rPr>
        <w:t xml:space="preserve"> </w:t>
      </w:r>
      <w:r>
        <w:t xml:space="preserve">juridinio asmens kodas </w:t>
      </w:r>
      <w:r>
        <w:rPr>
          <w:rFonts w:eastAsia="Times New Roman" w:cs="Calibri"/>
        </w:rPr>
        <w:t>300638080,</w:t>
      </w:r>
      <w:r>
        <w:t xml:space="preserve"> atstovaujama </w:t>
      </w:r>
      <w:r>
        <w:rPr>
          <w:rFonts w:eastAsia="Times New Roman" w:cs="Calibri"/>
        </w:rPr>
        <w:t>direktoriaus Aivaras Kašuba,</w:t>
      </w:r>
      <w:r>
        <w:t xml:space="preserve"> veikiančio pagal </w:t>
      </w:r>
      <w:r>
        <w:rPr>
          <w:rFonts w:eastAsia="Times New Roman" w:cs="Calibri"/>
        </w:rPr>
        <w:t>bendrovės įstatus</w:t>
      </w:r>
      <w:r>
        <w:t xml:space="preserve"> (toliau – </w:t>
      </w:r>
      <w:r>
        <w:rPr>
          <w:b/>
        </w:rPr>
        <w:t>Tiekėjas</w:t>
      </w:r>
      <w:r>
        <w:t>), toliau kartu vadinami „</w:t>
      </w:r>
      <w:r>
        <w:rPr>
          <w:b/>
        </w:rPr>
        <w:t>Šalimis</w:t>
      </w:r>
      <w:r>
        <w:t>“, o kiekviena atskirai – „</w:t>
      </w:r>
      <w:r>
        <w:rPr>
          <w:b/>
        </w:rPr>
        <w:t>Šalimi</w:t>
      </w:r>
      <w:r>
        <w:t>“, sudarė šią prekių pirkimo–pardavimo sutartį, toliau vadinamą „</w:t>
      </w:r>
      <w:r>
        <w:rPr>
          <w:b/>
        </w:rPr>
        <w:t>Sutartimi</w:t>
      </w:r>
      <w:r>
        <w:t>“</w:t>
      </w:r>
      <w:r>
        <w:rPr>
          <w:b/>
        </w:rPr>
        <w:t>,</w:t>
      </w:r>
      <w:r>
        <w:t xml:space="preserve"> ir susitarė dėl toliau išvardintų sąlygų:</w:t>
      </w:r>
    </w:p>
    <w:p w:rsidR="007E4B0F" w:rsidRDefault="007E4B0F">
      <w:pPr>
        <w:spacing w:after="0" w:line="240" w:lineRule="auto"/>
        <w:ind w:firstLine="360"/>
        <w:jc w:val="both"/>
        <w:rPr>
          <w:sz w:val="24"/>
        </w:rPr>
      </w:pPr>
    </w:p>
    <w:p w:rsidR="007E4B0F" w:rsidRDefault="009812D5">
      <w:pPr>
        <w:numPr>
          <w:ilvl w:val="0"/>
          <w:numId w:val="1"/>
        </w:numPr>
        <w:spacing w:after="0" w:line="240" w:lineRule="auto"/>
        <w:ind w:firstLine="360"/>
        <w:jc w:val="center"/>
        <w:rPr>
          <w:b/>
          <w:sz w:val="24"/>
        </w:rPr>
      </w:pPr>
      <w:r>
        <w:rPr>
          <w:b/>
          <w:sz w:val="24"/>
        </w:rPr>
        <w:t>SUTARTIES DALYKAS</w:t>
      </w:r>
    </w:p>
    <w:p w:rsidR="007E4B0F" w:rsidRDefault="007E4B0F">
      <w:pPr>
        <w:pStyle w:val="CommentText"/>
        <w:spacing w:after="0"/>
        <w:ind w:firstLine="360"/>
        <w:jc w:val="both"/>
        <w:rPr>
          <w:sz w:val="24"/>
        </w:rPr>
      </w:pPr>
    </w:p>
    <w:p w:rsidR="007E4B0F" w:rsidRDefault="009812D5">
      <w:pPr>
        <w:pStyle w:val="CommentText"/>
        <w:spacing w:after="0"/>
        <w:ind w:firstLine="360"/>
        <w:jc w:val="both"/>
      </w:pPr>
      <w:r>
        <w:rPr>
          <w:sz w:val="24"/>
        </w:rPr>
        <w:t xml:space="preserve">1.1. Sutarties dalykas yra lokotraktoriai (manevriniai geležinkelio riedmenys (toliau – MGR)) su garantiniu aptarnavimu ir praktiniu Užsakovo personalo apmokymu eksploatuoti, prižiūrėti ir remontuoti MGR eksploatacijos ir techninių priežiūrų ar remontų metu (toliau – </w:t>
      </w:r>
      <w:r>
        <w:rPr>
          <w:b/>
          <w:sz w:val="24"/>
        </w:rPr>
        <w:t>Prekės</w:t>
      </w:r>
      <w:r>
        <w:rPr>
          <w:sz w:val="24"/>
        </w:rPr>
        <w:t xml:space="preserve">) pirkimas–pardavimas.  </w:t>
      </w:r>
    </w:p>
    <w:p w:rsidR="007E4B0F" w:rsidRDefault="009812D5">
      <w:pPr>
        <w:pStyle w:val="ListParagraph"/>
        <w:tabs>
          <w:tab w:val="left" w:pos="567"/>
        </w:tabs>
        <w:spacing w:after="0" w:line="240" w:lineRule="auto"/>
        <w:ind w:left="0" w:firstLine="360"/>
        <w:jc w:val="both"/>
        <w:rPr>
          <w:sz w:val="24"/>
        </w:rPr>
      </w:pPr>
      <w:r>
        <w:rPr>
          <w:sz w:val="24"/>
        </w:rPr>
        <w:t xml:space="preserve">1.2. Prekių pristatymo vietos: </w:t>
      </w:r>
    </w:p>
    <w:p w:rsidR="007E4B0F" w:rsidRDefault="009812D5">
      <w:pPr>
        <w:pStyle w:val="ListParagraph"/>
        <w:tabs>
          <w:tab w:val="left" w:pos="567"/>
        </w:tabs>
        <w:spacing w:after="0" w:line="240" w:lineRule="auto"/>
        <w:ind w:left="0" w:firstLine="360"/>
        <w:jc w:val="both"/>
        <w:rPr>
          <w:sz w:val="24"/>
        </w:rPr>
      </w:pPr>
      <w:r>
        <w:rPr>
          <w:sz w:val="24"/>
        </w:rPr>
        <w:t>I pirkimo objekto dalis: 1 vnt. Lazdijų r., Topolių g., Šeštokai, 2 vnt. Juozapavičiaus pr. 114L, Kaunas.</w:t>
      </w:r>
    </w:p>
    <w:p w:rsidR="007E4B0F" w:rsidRDefault="009812D5">
      <w:pPr>
        <w:pStyle w:val="ListParagraph"/>
        <w:tabs>
          <w:tab w:val="left" w:pos="567"/>
        </w:tabs>
        <w:spacing w:after="0" w:line="240" w:lineRule="auto"/>
        <w:ind w:left="0" w:firstLine="360"/>
        <w:jc w:val="both"/>
      </w:pPr>
      <w:r>
        <w:rPr>
          <w:sz w:val="24"/>
          <w:lang w:val="en-US"/>
        </w:rPr>
        <w:t>1.</w:t>
      </w:r>
      <w:r>
        <w:rPr>
          <w:sz w:val="24"/>
        </w:rPr>
        <w:t>3. Tiekėjas turi pristatyti Prekes įspėjęs Sutarties 1.4. p. nurodytą kontaktinį asmenį prieš: 5 (penkias)</w:t>
      </w:r>
      <w:r>
        <w:rPr>
          <w:i/>
          <w:sz w:val="24"/>
        </w:rPr>
        <w:t xml:space="preserve"> </w:t>
      </w:r>
      <w:r>
        <w:rPr>
          <w:sz w:val="24"/>
        </w:rPr>
        <w:t>kalendorines dienas, nustatytu būdu: a)</w:t>
      </w:r>
      <w:r>
        <w:rPr>
          <w:rStyle w:val="Laukeliai"/>
          <w:rFonts w:ascii="Calibri" w:hAnsi="Calibri"/>
          <w:sz w:val="24"/>
        </w:rPr>
        <w:t xml:space="preserve"> </w:t>
      </w:r>
      <w:r>
        <w:rPr>
          <w:sz w:val="24"/>
        </w:rPr>
        <w:t>telefonu; b)</w:t>
      </w:r>
      <w:r>
        <w:rPr>
          <w:rStyle w:val="Laukeliai"/>
          <w:rFonts w:ascii="Calibri" w:hAnsi="Calibri"/>
          <w:sz w:val="24"/>
        </w:rPr>
        <w:t xml:space="preserve"> </w:t>
      </w:r>
      <w:r>
        <w:rPr>
          <w:sz w:val="24"/>
        </w:rPr>
        <w:t>elektroniniu paštu.</w:t>
      </w:r>
    </w:p>
    <w:p w:rsidR="007E4B0F" w:rsidRDefault="009812D5">
      <w:pPr>
        <w:widowControl w:val="0"/>
        <w:tabs>
          <w:tab w:val="left" w:pos="1134"/>
        </w:tabs>
        <w:spacing w:after="0" w:line="240" w:lineRule="auto"/>
        <w:ind w:firstLine="360"/>
        <w:jc w:val="both"/>
        <w:rPr>
          <w:sz w:val="24"/>
        </w:rPr>
      </w:pPr>
      <w:r>
        <w:rPr>
          <w:sz w:val="24"/>
        </w:rPr>
        <w:t xml:space="preserve">1.4. Už Prekių priėmimo organizavimą atsakingo asmens kontaktiniai duomenys: Krovinių vežimo direkcijos Riedmenų parko strategijos skyriaus </w:t>
      </w:r>
      <w:r w:rsidR="00A90E8B">
        <w:rPr>
          <w:sz w:val="24"/>
        </w:rPr>
        <w:t>.......................................</w:t>
      </w:r>
      <w:r>
        <w:rPr>
          <w:sz w:val="24"/>
        </w:rPr>
        <w:t>Apie įgalioto asmens pasikeitimą Pirkėjas informuoja Tiekėją šios Sutarties 9 skyriuje nurodytu Tiekėjo el. paštu ir atskiras Sutarties pakeitimas ar atskiras įgaliojimų įforminimas dėl šios priežasties nėra atliekamas.</w:t>
      </w:r>
    </w:p>
    <w:p w:rsidR="007E4B0F" w:rsidRDefault="009812D5">
      <w:pPr>
        <w:widowControl w:val="0"/>
        <w:tabs>
          <w:tab w:val="left" w:pos="1134"/>
        </w:tabs>
        <w:spacing w:after="0" w:line="240" w:lineRule="auto"/>
        <w:ind w:firstLine="360"/>
        <w:jc w:val="both"/>
      </w:pPr>
      <w:r>
        <w:rPr>
          <w:sz w:val="24"/>
        </w:rPr>
        <w:t xml:space="preserve">1.5. Prekių iškrovimas bus vykdomas: </w:t>
      </w:r>
      <w:r>
        <w:rPr>
          <w:rStyle w:val="Laukeliai"/>
          <w:rFonts w:ascii="Calibri" w:hAnsi="Calibri"/>
          <w:sz w:val="24"/>
        </w:rPr>
        <w:t>T</w:t>
      </w:r>
      <w:r>
        <w:rPr>
          <w:sz w:val="24"/>
        </w:rPr>
        <w:t>iekėjo jėgomis ir lėšomis.</w:t>
      </w:r>
    </w:p>
    <w:p w:rsidR="007E4B0F" w:rsidRDefault="007E4B0F">
      <w:pPr>
        <w:widowControl w:val="0"/>
        <w:tabs>
          <w:tab w:val="left" w:pos="1134"/>
        </w:tabs>
        <w:spacing w:after="0" w:line="240" w:lineRule="auto"/>
        <w:ind w:firstLine="360"/>
        <w:jc w:val="both"/>
        <w:rPr>
          <w:sz w:val="24"/>
        </w:rPr>
      </w:pPr>
    </w:p>
    <w:p w:rsidR="007E4B0F" w:rsidRDefault="009812D5">
      <w:pPr>
        <w:numPr>
          <w:ilvl w:val="0"/>
          <w:numId w:val="1"/>
        </w:numPr>
        <w:spacing w:after="0" w:line="240" w:lineRule="auto"/>
        <w:ind w:firstLine="360"/>
        <w:jc w:val="center"/>
        <w:rPr>
          <w:b/>
          <w:sz w:val="24"/>
        </w:rPr>
      </w:pPr>
      <w:r>
        <w:rPr>
          <w:b/>
          <w:sz w:val="24"/>
        </w:rPr>
        <w:t>SUTARTIES KAINA IR / ARBA KAINODAROS TAISYKLĖS IR MOKĖJIMO SĄLYGOS</w:t>
      </w:r>
    </w:p>
    <w:p w:rsidR="007E4B0F" w:rsidRDefault="007E4B0F">
      <w:pPr>
        <w:spacing w:after="0" w:line="240" w:lineRule="auto"/>
        <w:ind w:firstLine="360"/>
        <w:jc w:val="both"/>
        <w:rPr>
          <w:sz w:val="24"/>
        </w:rPr>
      </w:pPr>
    </w:p>
    <w:p w:rsidR="007E4B0F" w:rsidRDefault="009812D5">
      <w:pPr>
        <w:spacing w:after="0" w:line="240" w:lineRule="auto"/>
        <w:ind w:firstLine="360"/>
        <w:jc w:val="both"/>
        <w:rPr>
          <w:sz w:val="24"/>
        </w:rPr>
      </w:pPr>
      <w:r>
        <w:rPr>
          <w:sz w:val="24"/>
        </w:rPr>
        <w:t>2.1. Sutarčiai taikomas (fiksuotos kainos su peržiūra kainodaros metodas.</w:t>
      </w:r>
    </w:p>
    <w:p w:rsidR="007E4B0F" w:rsidRDefault="009812D5">
      <w:pPr>
        <w:shd w:val="clear" w:color="auto" w:fill="FFFFFF"/>
        <w:spacing w:after="0" w:line="240" w:lineRule="auto"/>
        <w:ind w:right="23" w:firstLine="360"/>
        <w:jc w:val="both"/>
        <w:rPr>
          <w:sz w:val="24"/>
        </w:rPr>
      </w:pPr>
      <w:r>
        <w:rPr>
          <w:sz w:val="24"/>
        </w:rPr>
        <w:t>2.2. Atsižvelgiant į Sutarties Specialiųjų sąlygų 2.1 punktą:</w:t>
      </w:r>
    </w:p>
    <w:p w:rsidR="007E4B0F" w:rsidRDefault="009812D5">
      <w:pPr>
        <w:shd w:val="clear" w:color="auto" w:fill="FFFFFF"/>
        <w:spacing w:after="0" w:line="240" w:lineRule="auto"/>
        <w:ind w:right="23" w:firstLine="360"/>
        <w:jc w:val="both"/>
      </w:pPr>
      <w:r>
        <w:t>Sutarties kaina yra:</w:t>
      </w:r>
    </w:p>
    <w:p w:rsidR="007E4B0F" w:rsidRDefault="009812D5">
      <w:pPr>
        <w:shd w:val="clear" w:color="auto" w:fill="FFFFFF"/>
        <w:spacing w:after="0" w:line="240" w:lineRule="auto"/>
        <w:ind w:right="23" w:firstLine="360"/>
        <w:jc w:val="both"/>
        <w:rPr>
          <w:rFonts w:cs="Calibri"/>
          <w:b/>
          <w:i/>
        </w:rPr>
      </w:pPr>
      <w:r>
        <w:rPr>
          <w:rFonts w:cs="Calibri"/>
          <w:b/>
          <w:i/>
        </w:rPr>
        <w:t>1 425 000,00 (vienas milijonas keturi šimtai dvidešimt penki tūkstančiai) Eur be PVM;</w:t>
      </w:r>
    </w:p>
    <w:p w:rsidR="007E4B0F" w:rsidRDefault="009812D5">
      <w:pPr>
        <w:shd w:val="clear" w:color="auto" w:fill="FFFFFF"/>
        <w:spacing w:after="0" w:line="240" w:lineRule="auto"/>
        <w:ind w:right="23" w:firstLine="360"/>
        <w:jc w:val="both"/>
        <w:rPr>
          <w:rFonts w:cs="Calibri"/>
          <w:b/>
          <w:i/>
        </w:rPr>
      </w:pPr>
      <w:r>
        <w:rPr>
          <w:rFonts w:cs="Calibri"/>
          <w:b/>
          <w:i/>
        </w:rPr>
        <w:t>21 proc. PVM – 299 250,00 (du šimtai devyniasdešimt devyni tūkstančiai du šimtai penkiasdešimt) Eur;</w:t>
      </w:r>
    </w:p>
    <w:p w:rsidR="007E4B0F" w:rsidRDefault="009812D5">
      <w:pPr>
        <w:shd w:val="clear" w:color="auto" w:fill="FFFFFF"/>
        <w:spacing w:after="0" w:line="240" w:lineRule="auto"/>
        <w:ind w:right="23" w:firstLine="360"/>
        <w:jc w:val="both"/>
        <w:rPr>
          <w:rFonts w:cs="Calibri"/>
          <w:b/>
          <w:i/>
        </w:rPr>
      </w:pPr>
      <w:r>
        <w:rPr>
          <w:rFonts w:cs="Calibri"/>
          <w:b/>
          <w:i/>
        </w:rPr>
        <w:t>1 724 250,00 (vienas milijonas septyni šimtai dvidešimt keturi tūkstančiai du šimtai penkiasdešimt) Eur su PVM).</w:t>
      </w:r>
    </w:p>
    <w:p w:rsidR="007E4B0F" w:rsidRDefault="009812D5">
      <w:pPr>
        <w:shd w:val="clear" w:color="auto" w:fill="FFFFFF"/>
        <w:spacing w:after="0" w:line="240" w:lineRule="auto"/>
        <w:ind w:right="23" w:firstLine="360"/>
        <w:jc w:val="both"/>
        <w:rPr>
          <w:sz w:val="24"/>
        </w:rPr>
      </w:pPr>
      <w:r>
        <w:rPr>
          <w:sz w:val="24"/>
        </w:rPr>
        <w:t>Prekių įkainiai pateikiami 1 lentelėje.</w:t>
      </w:r>
    </w:p>
    <w:p w:rsidR="007E4B0F" w:rsidRDefault="009812D5">
      <w:pPr>
        <w:spacing w:after="0" w:line="240" w:lineRule="auto"/>
        <w:ind w:firstLine="360"/>
        <w:jc w:val="right"/>
      </w:pPr>
      <w:r>
        <w:t>1 lentelė. Prekių įkainiai</w:t>
      </w:r>
    </w:p>
    <w:tbl>
      <w:tblPr>
        <w:tblW w:w="9634" w:type="dxa"/>
        <w:tblCellMar>
          <w:left w:w="10" w:type="dxa"/>
          <w:right w:w="10" w:type="dxa"/>
        </w:tblCellMar>
        <w:tblLook w:val="0000" w:firstRow="0" w:lastRow="0" w:firstColumn="0" w:lastColumn="0" w:noHBand="0" w:noVBand="0"/>
      </w:tblPr>
      <w:tblGrid>
        <w:gridCol w:w="2972"/>
        <w:gridCol w:w="851"/>
        <w:gridCol w:w="1275"/>
        <w:gridCol w:w="1560"/>
        <w:gridCol w:w="1275"/>
        <w:gridCol w:w="1701"/>
      </w:tblGrid>
      <w:tr w:rsidR="007E4B0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center"/>
            </w:pPr>
            <w:r>
              <w:t>Prekės 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center"/>
            </w:pPr>
            <w:r>
              <w:t>Kiekis,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center"/>
            </w:pPr>
            <w:r>
              <w:t>1 vnt. kaina Eur be PVM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center"/>
            </w:pPr>
            <w:r>
              <w:t>Bendra kaina be PVM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center"/>
            </w:pPr>
            <w:r>
              <w:t>21 proc.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center"/>
            </w:pPr>
            <w:r>
              <w:t>Bendra kaina su PVM</w:t>
            </w:r>
          </w:p>
        </w:tc>
      </w:tr>
      <w:tr w:rsidR="007E4B0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pPr>
            <w:r>
              <w:t xml:space="preserve">Manevrinis  geležinkelio riedmuo 1520 mm ir 1435 mm vėžei </w:t>
            </w:r>
          </w:p>
          <w:p w:rsidR="007E4B0F" w:rsidRDefault="009812D5">
            <w:pPr>
              <w:spacing w:after="0" w:line="240" w:lineRule="auto"/>
            </w:pPr>
            <w:r>
              <w:t>Modelis: RR282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center"/>
            </w:pPr>
            <w:r>
              <w:t>3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right"/>
            </w:pPr>
            <w:r>
              <w:rPr>
                <w:rFonts w:cs="Calibri"/>
              </w:rPr>
              <w:t>475 000,00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right"/>
            </w:pPr>
            <w:r>
              <w:rPr>
                <w:rFonts w:cs="Calibri"/>
              </w:rPr>
              <w:t>1 425 000,00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right"/>
            </w:pPr>
            <w:r>
              <w:rPr>
                <w:rFonts w:cs="Calibri"/>
              </w:rPr>
              <w:t>299 250,00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B0F" w:rsidRDefault="009812D5">
            <w:pPr>
              <w:spacing w:after="0" w:line="240" w:lineRule="auto"/>
              <w:jc w:val="right"/>
            </w:pPr>
            <w:r>
              <w:rPr>
                <w:rFonts w:cs="Calibri"/>
              </w:rPr>
              <w:t>1 724 250,00</w:t>
            </w:r>
          </w:p>
        </w:tc>
      </w:tr>
    </w:tbl>
    <w:p w:rsidR="007E4B0F" w:rsidRDefault="007E4B0F">
      <w:pPr>
        <w:shd w:val="clear" w:color="auto" w:fill="FFFFFF"/>
        <w:spacing w:after="0" w:line="240" w:lineRule="auto"/>
        <w:ind w:right="23" w:firstLine="360"/>
        <w:jc w:val="both"/>
        <w:rPr>
          <w:sz w:val="24"/>
        </w:rPr>
      </w:pPr>
    </w:p>
    <w:p w:rsidR="007E4B0F" w:rsidRDefault="009812D5">
      <w:pPr>
        <w:spacing w:after="0" w:line="240" w:lineRule="auto"/>
        <w:ind w:firstLine="382"/>
        <w:jc w:val="both"/>
        <w:rPr>
          <w:sz w:val="24"/>
        </w:rPr>
      </w:pPr>
      <w:r>
        <w:rPr>
          <w:sz w:val="24"/>
        </w:rPr>
        <w:t>2.3. Apmokėjimo sąlygos:</w:t>
      </w:r>
    </w:p>
    <w:p w:rsidR="007E4B0F" w:rsidRDefault="009812D5">
      <w:pPr>
        <w:spacing w:after="0" w:line="240" w:lineRule="auto"/>
        <w:ind w:firstLine="382"/>
        <w:jc w:val="both"/>
      </w:pPr>
      <w:r>
        <w:rPr>
          <w:sz w:val="24"/>
        </w:rPr>
        <w:lastRenderedPageBreak/>
        <w:t xml:space="preserve"> 2.3.1. Per 60 (</w:t>
      </w:r>
      <w:r>
        <w:rPr>
          <w:i/>
          <w:sz w:val="24"/>
        </w:rPr>
        <w:t>šešiasdešimt</w:t>
      </w:r>
      <w:r>
        <w:rPr>
          <w:sz w:val="24"/>
        </w:rPr>
        <w:t>) dienų nuo Sutarties įsigaliojimo Vykdytojas įsipareigoja kreiptis į Užsakovą dėl avansinio mokėjimo gavimo, kurio dydis sudaro 20 (</w:t>
      </w:r>
      <w:r>
        <w:rPr>
          <w:i/>
          <w:sz w:val="24"/>
        </w:rPr>
        <w:t>dvidešimt</w:t>
      </w:r>
      <w:r>
        <w:rPr>
          <w:sz w:val="24"/>
        </w:rPr>
        <w:t xml:space="preserve">) proc. MGR kainos be PVM (nurodytos Sutarties 1 lentelėje). </w:t>
      </w:r>
    </w:p>
    <w:p w:rsidR="007E4B0F" w:rsidRDefault="009812D5">
      <w:pPr>
        <w:spacing w:after="0" w:line="240" w:lineRule="auto"/>
        <w:ind w:firstLine="382"/>
        <w:jc w:val="both"/>
        <w:rPr>
          <w:sz w:val="24"/>
        </w:rPr>
      </w:pPr>
      <w:r>
        <w:rPr>
          <w:sz w:val="24"/>
        </w:rPr>
        <w:t>2.3.2. Avansinio mokėjimo užtikrinimui taikomas užtikrinimo būdas ir sąlygos:</w:t>
      </w:r>
    </w:p>
    <w:p w:rsidR="007E4B0F" w:rsidRDefault="009812D5">
      <w:pPr>
        <w:spacing w:after="0" w:line="240" w:lineRule="auto"/>
        <w:ind w:firstLine="720"/>
        <w:jc w:val="both"/>
        <w:rPr>
          <w:sz w:val="24"/>
        </w:rPr>
      </w:pPr>
      <w:r>
        <w:rPr>
          <w:sz w:val="24"/>
        </w:rPr>
        <w:t>1) 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pagrindinis (motininis ar valdantysis) bankas / draudimo bendrovė garantijos / laidavimo rašto išdavimo dieną turi turėti ne mažesnius nei aukščiau nurodyta reitingus.</w:t>
      </w:r>
    </w:p>
    <w:p w:rsidR="007E4B0F" w:rsidRDefault="009812D5">
      <w:pPr>
        <w:spacing w:after="0" w:line="240" w:lineRule="auto"/>
        <w:ind w:firstLine="720"/>
        <w:jc w:val="both"/>
        <w:rPr>
          <w:sz w:val="24"/>
        </w:rPr>
      </w:pPr>
      <w:r>
        <w:rPr>
          <w:sz w:val="24"/>
        </w:rPr>
        <w:t>2) Užsakovui gavus informacijos, jog bankas / draudimo bendrovė, išdavę garantiją / laidavimo raštą, nebeatitinka sutartyse keliamų reikalavimų, Vykdytojas įsipareigoja per 14 (keturiolika) kalendorinių dienų nuo Užsakovo reikalavimo pateikti banko / draudimo bendrovės garantiją / laidavimo raštą, atitinkančius sutarties reikalavimus;</w:t>
      </w:r>
    </w:p>
    <w:p w:rsidR="007E4B0F" w:rsidRDefault="009812D5">
      <w:pPr>
        <w:spacing w:after="0" w:line="240" w:lineRule="auto"/>
        <w:ind w:firstLine="720"/>
        <w:jc w:val="both"/>
        <w:rPr>
          <w:sz w:val="24"/>
        </w:rPr>
      </w:pPr>
      <w:r>
        <w:rPr>
          <w:sz w:val="24"/>
        </w:rPr>
        <w:t>3) visoms banko / draudimo bendrovės išduotoms garantijoms / garantiniams raštams turi būti taikoma Lietuvos Respublikos teisė ir tarptautinių prekybos rūmų patvirtintos taisyklės - „The ICC Uniform rules for demand guarantees“ (Leidinio Nr. 758).</w:t>
      </w:r>
    </w:p>
    <w:p w:rsidR="007E4B0F" w:rsidRDefault="009812D5">
      <w:pPr>
        <w:spacing w:after="0" w:line="240" w:lineRule="auto"/>
        <w:ind w:firstLine="720"/>
        <w:jc w:val="both"/>
        <w:rPr>
          <w:sz w:val="24"/>
        </w:rPr>
      </w:pPr>
      <w:r>
        <w:rPr>
          <w:sz w:val="24"/>
        </w:rPr>
        <w:t>4) kiti avansinio mokėjimo būdai nepriimami.</w:t>
      </w:r>
    </w:p>
    <w:p w:rsidR="007E4B0F" w:rsidRDefault="009812D5">
      <w:pPr>
        <w:spacing w:after="0" w:line="240" w:lineRule="auto"/>
        <w:ind w:firstLine="426"/>
        <w:jc w:val="both"/>
        <w:rPr>
          <w:sz w:val="24"/>
        </w:rPr>
      </w:pPr>
      <w:r>
        <w:rPr>
          <w:sz w:val="24"/>
        </w:rPr>
        <w:t xml:space="preserve">2.3.3. Vykdytojo avansinio mokėjimo garantija turi būti išduota Užsakovo naudai lietuvių arba anglų kalbomis. (Avansinio mokėjimo užtikrinimo banko garantijos pavyzdys pateikiamas Sutarties sąlygų Priede Nr. 4). </w:t>
      </w:r>
    </w:p>
    <w:p w:rsidR="007E4B0F" w:rsidRDefault="009812D5">
      <w:pPr>
        <w:spacing w:after="0" w:line="240" w:lineRule="auto"/>
        <w:ind w:firstLine="426"/>
        <w:jc w:val="both"/>
        <w:rPr>
          <w:sz w:val="24"/>
        </w:rPr>
      </w:pPr>
      <w:r>
        <w:rPr>
          <w:sz w:val="24"/>
        </w:rPr>
        <w:t xml:space="preserve">2.3.4. Avansinis mokėjimas nėra atliekamas, jeigu nėra gauta avansinio mokėjimo užtikrinimo įvykdymo įrodymo dokumentas. </w:t>
      </w:r>
    </w:p>
    <w:p w:rsidR="007E4B0F" w:rsidRDefault="009812D5">
      <w:pPr>
        <w:spacing w:after="0" w:line="240" w:lineRule="auto"/>
        <w:ind w:firstLine="426"/>
        <w:jc w:val="both"/>
        <w:rPr>
          <w:sz w:val="24"/>
        </w:rPr>
      </w:pPr>
      <w:r>
        <w:rPr>
          <w:sz w:val="24"/>
        </w:rPr>
        <w:t xml:space="preserve">2.3.5. Išankstinio mokėjimo užtikrinimo garantija turi galioti tol, kol bus užskaitytas išankstinis mokėjimas.  </w:t>
      </w:r>
    </w:p>
    <w:p w:rsidR="007E4B0F" w:rsidRDefault="009812D5">
      <w:pPr>
        <w:shd w:val="clear" w:color="auto" w:fill="FFFFFF"/>
        <w:tabs>
          <w:tab w:val="left" w:pos="0"/>
        </w:tabs>
        <w:spacing w:after="0" w:line="240" w:lineRule="auto"/>
        <w:ind w:firstLine="426"/>
        <w:jc w:val="both"/>
      </w:pPr>
      <w:r>
        <w:rPr>
          <w:sz w:val="24"/>
        </w:rPr>
        <w:t>2.3.</w:t>
      </w:r>
      <w:r>
        <w:rPr>
          <w:sz w:val="24"/>
          <w:szCs w:val="24"/>
          <w:lang w:val="en-US"/>
        </w:rPr>
        <w:t>6</w:t>
      </w:r>
      <w:r>
        <w:rPr>
          <w:sz w:val="24"/>
        </w:rPr>
        <w:t xml:space="preserve">. Užsakovas už pristatytas Prekes apmoka per 45 (keturiasdešimt penkias) kalendorines dienas nuo Akto ir PVM sąskaitos–faktūros pateikimo jam dienos. </w:t>
      </w:r>
    </w:p>
    <w:p w:rsidR="007E4B0F" w:rsidRDefault="007E4B0F">
      <w:pPr>
        <w:spacing w:after="0" w:line="240" w:lineRule="auto"/>
        <w:ind w:firstLine="360"/>
        <w:jc w:val="both"/>
        <w:rPr>
          <w:sz w:val="24"/>
        </w:rPr>
      </w:pPr>
    </w:p>
    <w:p w:rsidR="007E4B0F" w:rsidRDefault="009812D5">
      <w:pPr>
        <w:tabs>
          <w:tab w:val="left" w:pos="709"/>
        </w:tabs>
        <w:spacing w:after="0" w:line="240" w:lineRule="auto"/>
        <w:ind w:firstLine="360"/>
        <w:jc w:val="center"/>
        <w:rPr>
          <w:b/>
          <w:sz w:val="24"/>
        </w:rPr>
      </w:pPr>
      <w:r>
        <w:rPr>
          <w:b/>
          <w:sz w:val="24"/>
        </w:rPr>
        <w:t>3. PREKIŲ PATIEKIMO TVARKA</w:t>
      </w:r>
    </w:p>
    <w:p w:rsidR="007E4B0F" w:rsidRDefault="007E4B0F">
      <w:pPr>
        <w:shd w:val="clear" w:color="auto" w:fill="FFFFFF"/>
        <w:spacing w:after="0" w:line="240" w:lineRule="auto"/>
        <w:ind w:firstLine="360"/>
        <w:jc w:val="both"/>
        <w:rPr>
          <w:sz w:val="24"/>
        </w:rPr>
      </w:pPr>
    </w:p>
    <w:p w:rsidR="007E4B0F" w:rsidRDefault="009812D5">
      <w:pPr>
        <w:shd w:val="clear" w:color="auto" w:fill="FFFFFF"/>
        <w:spacing w:after="0" w:line="240" w:lineRule="auto"/>
        <w:ind w:firstLine="360"/>
        <w:jc w:val="both"/>
      </w:pPr>
      <w:r>
        <w:rPr>
          <w:sz w:val="24"/>
        </w:rPr>
        <w:t xml:space="preserve">3.1. Prekės turi būti patiektos per </w:t>
      </w:r>
      <w:r>
        <w:rPr>
          <w:sz w:val="24"/>
          <w:szCs w:val="24"/>
        </w:rPr>
        <w:t>7 (septynis)</w:t>
      </w:r>
      <w:r>
        <w:rPr>
          <w:sz w:val="24"/>
        </w:rPr>
        <w:t xml:space="preserve"> mėnesius nuo Sutarties įsigaliojimo dienos. Šalys susitaria, kad Prekių suteikimo terminas yra esminė Sutarties sąlyga. </w:t>
      </w:r>
    </w:p>
    <w:p w:rsidR="007E4B0F" w:rsidRDefault="009812D5">
      <w:pPr>
        <w:shd w:val="clear" w:color="auto" w:fill="FFFFFF"/>
        <w:spacing w:after="0" w:line="240" w:lineRule="auto"/>
        <w:ind w:firstLine="360"/>
        <w:jc w:val="both"/>
        <w:rPr>
          <w:sz w:val="24"/>
        </w:rPr>
      </w:pPr>
      <w:r>
        <w:rPr>
          <w:sz w:val="24"/>
        </w:rPr>
        <w:t>3.2. Pristatydamas Prekes Pirkėjui Tiekėjas pateikia dokumentus nurodytus Sutarties 3 priedo 3.18 punkte ir 4 skyriuje.</w:t>
      </w:r>
    </w:p>
    <w:p w:rsidR="007E4B0F" w:rsidRDefault="009812D5">
      <w:pPr>
        <w:shd w:val="clear" w:color="auto" w:fill="FFFFFF"/>
        <w:tabs>
          <w:tab w:val="left" w:pos="10575"/>
        </w:tabs>
        <w:spacing w:after="0" w:line="240" w:lineRule="auto"/>
        <w:ind w:firstLine="360"/>
        <w:jc w:val="both"/>
      </w:pPr>
      <w:r>
        <w:rPr>
          <w:sz w:val="24"/>
        </w:rPr>
        <w:t xml:space="preserve">3.3.  Prekių gamintojas </w:t>
      </w:r>
      <w:r>
        <w:t>– ZAGRO Group Vokietija.</w:t>
      </w:r>
    </w:p>
    <w:p w:rsidR="007E4B0F" w:rsidRDefault="009812D5">
      <w:pPr>
        <w:autoSpaceDE w:val="0"/>
        <w:spacing w:after="0" w:line="240" w:lineRule="auto"/>
        <w:jc w:val="both"/>
        <w:rPr>
          <w:sz w:val="24"/>
        </w:rPr>
      </w:pPr>
      <w:r>
        <w:rPr>
          <w:sz w:val="24"/>
        </w:rPr>
        <w:t xml:space="preserve">      3.4. Prekių pateikimo data yra Prekių perdavimo-priėmimo akto pasirašymo diena.</w:t>
      </w:r>
    </w:p>
    <w:p w:rsidR="007E4B0F" w:rsidRDefault="007E4B0F">
      <w:pPr>
        <w:shd w:val="clear" w:color="auto" w:fill="FFFFFF"/>
        <w:spacing w:after="0" w:line="240" w:lineRule="auto"/>
        <w:ind w:firstLine="360"/>
        <w:jc w:val="both"/>
        <w:rPr>
          <w:i/>
          <w:sz w:val="24"/>
          <w:szCs w:val="24"/>
        </w:rPr>
      </w:pPr>
    </w:p>
    <w:p w:rsidR="007E4B0F" w:rsidRDefault="009812D5">
      <w:pPr>
        <w:pStyle w:val="ListParagraph"/>
        <w:numPr>
          <w:ilvl w:val="0"/>
          <w:numId w:val="2"/>
        </w:numPr>
        <w:spacing w:after="0" w:line="240" w:lineRule="auto"/>
        <w:jc w:val="center"/>
        <w:rPr>
          <w:b/>
          <w:sz w:val="24"/>
        </w:rPr>
      </w:pPr>
      <w:r>
        <w:rPr>
          <w:b/>
          <w:sz w:val="24"/>
        </w:rPr>
        <w:t>PREKIŲ KOKYBĖ IR GARANTIJA</w:t>
      </w:r>
    </w:p>
    <w:p w:rsidR="007E4B0F" w:rsidRDefault="007E4B0F">
      <w:pPr>
        <w:spacing w:after="0" w:line="240" w:lineRule="auto"/>
        <w:ind w:left="360"/>
        <w:rPr>
          <w:b/>
          <w:sz w:val="24"/>
        </w:rPr>
      </w:pPr>
    </w:p>
    <w:p w:rsidR="007E4B0F" w:rsidRDefault="009812D5">
      <w:pPr>
        <w:pStyle w:val="ListParagraph"/>
        <w:numPr>
          <w:ilvl w:val="1"/>
          <w:numId w:val="2"/>
        </w:numPr>
        <w:shd w:val="clear" w:color="auto" w:fill="FFFFFF"/>
        <w:tabs>
          <w:tab w:val="left" w:pos="851"/>
        </w:tabs>
        <w:spacing w:after="0" w:line="240" w:lineRule="auto"/>
        <w:ind w:left="0" w:firstLine="284"/>
        <w:jc w:val="both"/>
        <w:rPr>
          <w:sz w:val="24"/>
        </w:rPr>
      </w:pPr>
      <w:r>
        <w:rPr>
          <w:sz w:val="24"/>
        </w:rPr>
        <w:t xml:space="preserve">Prekės turi būti naujos, pagamintos ne anksčiau kaip 2019 metais, neeksploatuotos. Tiekėjas garantuoja Prekių kokybę bei paslėptų trūkumų nebuvimą. </w:t>
      </w:r>
    </w:p>
    <w:p w:rsidR="007E4B0F" w:rsidRDefault="009812D5">
      <w:pPr>
        <w:pStyle w:val="ListParagraph"/>
        <w:numPr>
          <w:ilvl w:val="1"/>
          <w:numId w:val="2"/>
        </w:numPr>
        <w:shd w:val="clear" w:color="auto" w:fill="FFFFFF"/>
        <w:tabs>
          <w:tab w:val="left" w:pos="851"/>
        </w:tabs>
        <w:spacing w:after="0" w:line="240" w:lineRule="auto"/>
        <w:ind w:left="0" w:firstLine="284"/>
        <w:jc w:val="both"/>
      </w:pPr>
      <w:r>
        <w:rPr>
          <w:sz w:val="24"/>
        </w:rPr>
        <w:t xml:space="preserve">Garantinis terminas – 24 </w:t>
      </w:r>
      <w:r>
        <w:rPr>
          <w:rFonts w:eastAsia="Times New Roman"/>
          <w:sz w:val="24"/>
          <w:szCs w:val="24"/>
        </w:rPr>
        <w:t xml:space="preserve">(dvidešimt keturi) </w:t>
      </w:r>
      <w:r>
        <w:rPr>
          <w:sz w:val="24"/>
        </w:rPr>
        <w:t>mėnesiai arba 8400 moto valandų, priklausomai nuo to, kuris terminas sueis greičiau.</w:t>
      </w:r>
      <w:r>
        <w:rPr>
          <w:rFonts w:eastAsia="Times New Roman"/>
          <w:sz w:val="24"/>
          <w:szCs w:val="24"/>
        </w:rPr>
        <w:t xml:space="preserve"> </w:t>
      </w:r>
      <w:r>
        <w:rPr>
          <w:sz w:val="24"/>
        </w:rPr>
        <w:t xml:space="preserve"> Garantijos terminas skaičiuojamas nuo Prekių perdavimo-priėmimo akto pasirašymo. Garantinis terminas </w:t>
      </w:r>
      <w:r>
        <w:rPr>
          <w:rFonts w:eastAsia="Times New Roman"/>
          <w:sz w:val="24"/>
          <w:szCs w:val="24"/>
        </w:rPr>
        <w:t>visoms garantiniu laikotarpiu pakeistoms ar sutaisytoms Prekėms ar jų dalims vėl įsigalioja</w:t>
      </w:r>
      <w:r>
        <w:rPr>
          <w:sz w:val="24"/>
        </w:rPr>
        <w:t xml:space="preserve"> nuo tinkamai pakeistų ar sutaisytų Prekių ar jų dalių perdavimo Pirkėjui dienos.</w:t>
      </w:r>
    </w:p>
    <w:p w:rsidR="007E4B0F" w:rsidRDefault="009812D5">
      <w:pPr>
        <w:pStyle w:val="ListParagraph"/>
        <w:numPr>
          <w:ilvl w:val="1"/>
          <w:numId w:val="2"/>
        </w:numPr>
        <w:shd w:val="clear" w:color="auto" w:fill="FFFFFF"/>
        <w:tabs>
          <w:tab w:val="left" w:pos="851"/>
        </w:tabs>
        <w:spacing w:after="0" w:line="240" w:lineRule="auto"/>
        <w:ind w:left="0" w:firstLine="284"/>
        <w:jc w:val="both"/>
        <w:rPr>
          <w:sz w:val="24"/>
        </w:rPr>
      </w:pPr>
      <w:r>
        <w:rPr>
          <w:sz w:val="24"/>
        </w:rPr>
        <w:t>Garantinio laikotarpio metu Tiekėjas per 30 (trisdešimt) kalendorinių dienų nuo Pirkėjo prašymo išsiuntimo dienos įsipareigoja kompensuoti visus Pirkėjo nuostolius, susijusius su įsigijamų Prekių remonto atlikimu pagal Pirkėjo pareikalavimą.</w:t>
      </w:r>
    </w:p>
    <w:p w:rsidR="007E4B0F" w:rsidRDefault="009812D5">
      <w:pPr>
        <w:pStyle w:val="ListParagraph"/>
        <w:numPr>
          <w:ilvl w:val="1"/>
          <w:numId w:val="2"/>
        </w:numPr>
        <w:shd w:val="clear" w:color="auto" w:fill="FFFFFF"/>
        <w:tabs>
          <w:tab w:val="left" w:pos="851"/>
        </w:tabs>
        <w:spacing w:after="0" w:line="240" w:lineRule="auto"/>
        <w:ind w:left="0" w:firstLine="284"/>
        <w:jc w:val="both"/>
        <w:rPr>
          <w:sz w:val="24"/>
        </w:rPr>
      </w:pPr>
      <w:r>
        <w:rPr>
          <w:sz w:val="24"/>
        </w:rPr>
        <w:lastRenderedPageBreak/>
        <w:t>Tiekėjas pagal atskirai pateiktą sąskaitą atlygina visas Pirkėjo išlaidas bei nuostolius, susijusius su Prekių defektais atsiradusiais garantinio laikotarpio metu.</w:t>
      </w:r>
    </w:p>
    <w:p w:rsidR="007E4B0F" w:rsidRDefault="009812D5">
      <w:pPr>
        <w:shd w:val="clear" w:color="auto" w:fill="FFFFFF"/>
        <w:tabs>
          <w:tab w:val="left" w:pos="394"/>
          <w:tab w:val="left" w:pos="720"/>
        </w:tabs>
        <w:spacing w:after="0" w:line="240" w:lineRule="auto"/>
        <w:ind w:firstLine="360"/>
        <w:jc w:val="both"/>
        <w:rPr>
          <w:sz w:val="24"/>
        </w:rPr>
      </w:pPr>
      <w:r>
        <w:rPr>
          <w:sz w:val="24"/>
        </w:rPr>
        <w:tab/>
      </w:r>
    </w:p>
    <w:p w:rsidR="007E4B0F" w:rsidRDefault="009812D5">
      <w:pPr>
        <w:spacing w:after="0" w:line="240" w:lineRule="auto"/>
        <w:ind w:firstLine="360"/>
        <w:jc w:val="center"/>
        <w:rPr>
          <w:b/>
          <w:sz w:val="24"/>
        </w:rPr>
      </w:pPr>
      <w:r>
        <w:rPr>
          <w:b/>
          <w:sz w:val="24"/>
        </w:rPr>
        <w:t>5. ŠALIŲ ATSAKOMYBĖ</w:t>
      </w:r>
    </w:p>
    <w:p w:rsidR="007E4B0F" w:rsidRDefault="007E4B0F">
      <w:pPr>
        <w:shd w:val="clear" w:color="auto" w:fill="FFFFFF"/>
        <w:spacing w:after="0" w:line="240" w:lineRule="auto"/>
        <w:ind w:firstLine="360"/>
        <w:jc w:val="both"/>
        <w:rPr>
          <w:sz w:val="24"/>
        </w:rPr>
      </w:pPr>
    </w:p>
    <w:p w:rsidR="007E4B0F" w:rsidRDefault="009812D5">
      <w:pPr>
        <w:shd w:val="clear" w:color="auto" w:fill="FFFFFF"/>
        <w:spacing w:after="0" w:line="240" w:lineRule="auto"/>
        <w:ind w:firstLine="360"/>
        <w:jc w:val="both"/>
      </w:pPr>
      <w:r>
        <w:rPr>
          <w:sz w:val="24"/>
        </w:rPr>
        <w:t xml:space="preserve">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w:t>
      </w:r>
      <w:r>
        <w:t xml:space="preserve">maksimalią delspinigių skaičiavimo ribą nustatant 20 (dvidešimt) procentų nuo Sutarties kainos dalies, įskaitant PVM, jei jis Sutarčiai taikomas. </w:t>
      </w:r>
    </w:p>
    <w:p w:rsidR="007E4B0F" w:rsidRDefault="009812D5">
      <w:pPr>
        <w:shd w:val="clear" w:color="auto" w:fill="FFFFFF"/>
        <w:spacing w:after="0" w:line="240" w:lineRule="auto"/>
        <w:ind w:firstLine="360"/>
        <w:jc w:val="both"/>
      </w:pPr>
      <w:r>
        <w:rPr>
          <w:sz w:val="24"/>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įskaitant PVM, maksimalią delspinigių skaičiavimo ribą </w:t>
      </w:r>
      <w:r>
        <w:t xml:space="preserve">nustatant 20 (dvidešimt) procentų nuo Sutarties kainos, įskaitant PVM, jei jis Sutarčiai taikomas. </w:t>
      </w:r>
    </w:p>
    <w:p w:rsidR="007E4B0F" w:rsidRDefault="009812D5">
      <w:pPr>
        <w:spacing w:after="0" w:line="240" w:lineRule="auto"/>
        <w:ind w:firstLine="360"/>
        <w:jc w:val="both"/>
      </w:pPr>
      <w:r>
        <w:rPr>
          <w:sz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Pr>
          <w:b/>
          <w:sz w:val="24"/>
        </w:rPr>
        <w:t>Sankcijos</w:t>
      </w:r>
      <w:r>
        <w:rPr>
          <w:sz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rsidR="007E4B0F" w:rsidRDefault="009812D5">
      <w:pPr>
        <w:spacing w:after="0" w:line="240" w:lineRule="auto"/>
        <w:ind w:firstLine="360"/>
        <w:jc w:val="both"/>
        <w:rPr>
          <w:sz w:val="24"/>
        </w:rPr>
      </w:pPr>
      <w:r>
        <w:rPr>
          <w:sz w:val="24"/>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rsidR="007E4B0F" w:rsidRDefault="007E4B0F">
      <w:pPr>
        <w:tabs>
          <w:tab w:val="left" w:pos="720"/>
        </w:tabs>
        <w:spacing w:after="0" w:line="240" w:lineRule="auto"/>
        <w:jc w:val="both"/>
        <w:rPr>
          <w:sz w:val="24"/>
        </w:rPr>
      </w:pPr>
    </w:p>
    <w:p w:rsidR="007E4B0F" w:rsidRDefault="007E4B0F">
      <w:pPr>
        <w:tabs>
          <w:tab w:val="left" w:pos="720"/>
        </w:tabs>
        <w:spacing w:after="0" w:line="240" w:lineRule="auto"/>
        <w:jc w:val="both"/>
        <w:rPr>
          <w:sz w:val="24"/>
          <w:szCs w:val="24"/>
        </w:rPr>
      </w:pPr>
    </w:p>
    <w:p w:rsidR="007E4B0F" w:rsidRDefault="009812D5">
      <w:pPr>
        <w:spacing w:after="0" w:line="240" w:lineRule="auto"/>
        <w:ind w:firstLine="360"/>
        <w:jc w:val="center"/>
        <w:rPr>
          <w:b/>
          <w:sz w:val="24"/>
        </w:rPr>
      </w:pPr>
      <w:r>
        <w:rPr>
          <w:b/>
          <w:sz w:val="24"/>
        </w:rPr>
        <w:t xml:space="preserve">6. SUTARTIES ĮVYKDYMO UŽTIKRINIMAS </w:t>
      </w:r>
    </w:p>
    <w:p w:rsidR="007E4B0F" w:rsidRDefault="007E4B0F">
      <w:pPr>
        <w:tabs>
          <w:tab w:val="left" w:pos="709"/>
        </w:tabs>
        <w:spacing w:after="0" w:line="240" w:lineRule="auto"/>
        <w:ind w:firstLine="360"/>
        <w:jc w:val="both"/>
        <w:rPr>
          <w:sz w:val="24"/>
        </w:rPr>
      </w:pPr>
    </w:p>
    <w:p w:rsidR="007E4B0F" w:rsidRDefault="009812D5">
      <w:pPr>
        <w:tabs>
          <w:tab w:val="left" w:pos="709"/>
        </w:tabs>
        <w:spacing w:after="0" w:line="240" w:lineRule="auto"/>
        <w:ind w:firstLine="360"/>
        <w:jc w:val="both"/>
      </w:pPr>
      <w:r>
        <w:rPr>
          <w:sz w:val="24"/>
        </w:rPr>
        <w:t xml:space="preserve">6.1. Sutarties įvykdymas užtikrinamas vienu iš Sutarties Bendrosiose sąlygose nurodytų prievolių įvykdymo užtikrinimo būdų – </w:t>
      </w:r>
      <w:r>
        <w:rPr>
          <w:sz w:val="24"/>
          <w:lang w:val="en-US"/>
        </w:rPr>
        <w:t>3</w:t>
      </w:r>
      <w:r>
        <w:rPr>
          <w:sz w:val="24"/>
        </w:rPr>
        <w:t xml:space="preserve"> proc. nuo Sutarties kainos be PVM. Mokėjimo pavedimą įrodantis dokumentas banko garantijos originalas ar draudimo bendrovės laidavimo originalas turi būti pateiktas</w:t>
      </w:r>
      <w:r>
        <w:rPr>
          <w:spacing w:val="1"/>
          <w:sz w:val="24"/>
        </w:rPr>
        <w:t xml:space="preserve"> Pirkėjui / Pirkėjo atstovui el. paštu: asvyde.berzanskiene</w:t>
      </w:r>
      <w:r>
        <w:rPr>
          <w:spacing w:val="1"/>
          <w:sz w:val="24"/>
          <w:lang w:val="en-US"/>
        </w:rPr>
        <w:t>@litrail.lt</w:t>
      </w:r>
      <w:r>
        <w:rPr>
          <w:spacing w:val="1"/>
          <w:sz w:val="24"/>
        </w:rPr>
        <w:t xml:space="preserve"> arba adresu: Mindaugo g. 12, Vilnius, 410 kab., ne vėliau kaip per </w:t>
      </w:r>
      <w:r>
        <w:rPr>
          <w:sz w:val="24"/>
        </w:rPr>
        <w:t xml:space="preserve">10 (dešimt) </w:t>
      </w:r>
      <w:r>
        <w:rPr>
          <w:spacing w:val="1"/>
          <w:sz w:val="24"/>
        </w:rPr>
        <w:t>kalendorinių dienų nuo Sutarties pasirašymo.</w:t>
      </w:r>
    </w:p>
    <w:p w:rsidR="007E4B0F" w:rsidRDefault="007E4B0F">
      <w:pPr>
        <w:tabs>
          <w:tab w:val="left" w:pos="709"/>
        </w:tabs>
        <w:spacing w:after="0" w:line="240" w:lineRule="auto"/>
        <w:ind w:firstLine="360"/>
        <w:jc w:val="center"/>
        <w:rPr>
          <w:b/>
          <w:sz w:val="24"/>
        </w:rPr>
      </w:pPr>
    </w:p>
    <w:p w:rsidR="007E4B0F" w:rsidRDefault="009812D5">
      <w:pPr>
        <w:tabs>
          <w:tab w:val="left" w:pos="709"/>
        </w:tabs>
        <w:spacing w:after="0" w:line="240" w:lineRule="auto"/>
        <w:ind w:firstLine="360"/>
        <w:jc w:val="center"/>
        <w:rPr>
          <w:b/>
          <w:sz w:val="24"/>
        </w:rPr>
      </w:pPr>
      <w:r>
        <w:rPr>
          <w:b/>
          <w:sz w:val="24"/>
        </w:rPr>
        <w:t>7. SUTARTIES GALIOJIMAS</w:t>
      </w:r>
    </w:p>
    <w:p w:rsidR="007E4B0F" w:rsidRDefault="007E4B0F">
      <w:pPr>
        <w:spacing w:after="0" w:line="240" w:lineRule="auto"/>
        <w:ind w:firstLine="360"/>
        <w:jc w:val="both"/>
        <w:rPr>
          <w:sz w:val="24"/>
        </w:rPr>
      </w:pPr>
    </w:p>
    <w:p w:rsidR="007E4B0F" w:rsidRDefault="009812D5">
      <w:pPr>
        <w:spacing w:after="0" w:line="240" w:lineRule="auto"/>
        <w:ind w:firstLine="360"/>
        <w:jc w:val="both"/>
      </w:pPr>
      <w:r>
        <w:rPr>
          <w:sz w:val="24"/>
        </w:rPr>
        <w:t>7.1. Sutartis laikoma sudaryta ir įsigalioja ją pasirašius įgaliotiems Šalių atstovams ir Tiekėjui pristačius tinkamą Sutarties įvykdymo užtikrinimą įrodantį dokumentą, bei kitus Sutarties įsigaliojimui būtinus dokumentus, jei jų reikalaujamą pagal šios Sutarties sąlygas</w:t>
      </w:r>
      <w:r>
        <w:rPr>
          <w:i/>
          <w:sz w:val="24"/>
        </w:rPr>
        <w:t>.</w:t>
      </w:r>
    </w:p>
    <w:p w:rsidR="007E4B0F" w:rsidRDefault="009812D5">
      <w:pPr>
        <w:spacing w:after="0" w:line="240" w:lineRule="auto"/>
        <w:ind w:firstLine="360"/>
        <w:jc w:val="both"/>
      </w:pPr>
      <w:r>
        <w:rPr>
          <w:sz w:val="24"/>
        </w:rPr>
        <w:lastRenderedPageBreak/>
        <w:t>7.2. Sutartis galioja iki visiško prievolių įvykdymo, bet jos terminas negali būti ilgesnis kaip iki 2020-03-01.</w:t>
      </w:r>
    </w:p>
    <w:p w:rsidR="007E4B0F" w:rsidRDefault="007E4B0F">
      <w:pPr>
        <w:spacing w:after="0" w:line="240" w:lineRule="auto"/>
        <w:ind w:firstLine="360"/>
        <w:jc w:val="center"/>
        <w:rPr>
          <w:b/>
          <w:sz w:val="24"/>
          <w:lang w:val="en-US"/>
        </w:rPr>
      </w:pPr>
      <w:bookmarkStart w:id="2" w:name="part_8f4dadbdf27c4882b72f57a56c9631ad"/>
      <w:bookmarkStart w:id="3" w:name="part_9fd9687904354f69bb532178a7959ebe"/>
      <w:bookmarkEnd w:id="2"/>
      <w:bookmarkEnd w:id="3"/>
    </w:p>
    <w:p w:rsidR="007E4B0F" w:rsidRDefault="009812D5">
      <w:pPr>
        <w:spacing w:after="0" w:line="240" w:lineRule="auto"/>
        <w:ind w:firstLine="360"/>
        <w:jc w:val="center"/>
        <w:rPr>
          <w:b/>
          <w:sz w:val="24"/>
        </w:rPr>
      </w:pPr>
      <w:r>
        <w:rPr>
          <w:b/>
          <w:sz w:val="24"/>
        </w:rPr>
        <w:t>8. KITOS NUOSTATOS</w:t>
      </w:r>
    </w:p>
    <w:p w:rsidR="007E4B0F" w:rsidRDefault="007E4B0F">
      <w:pPr>
        <w:spacing w:after="0" w:line="240" w:lineRule="auto"/>
        <w:ind w:firstLine="360"/>
        <w:jc w:val="both"/>
        <w:rPr>
          <w:sz w:val="24"/>
        </w:rPr>
      </w:pPr>
    </w:p>
    <w:p w:rsidR="007E4B0F" w:rsidRDefault="009812D5">
      <w:pPr>
        <w:spacing w:after="0" w:line="240" w:lineRule="auto"/>
        <w:ind w:firstLine="360"/>
        <w:jc w:val="both"/>
      </w:pPr>
      <w:r>
        <w:rPr>
          <w:sz w:val="24"/>
        </w:rPr>
        <w:t xml:space="preserve">8.1. Šią Sutartį sudaro Sutarties Specialiosios sąlygos, jų priedai ir Sutarties Bendrosios sąlygos. </w:t>
      </w:r>
      <w:r>
        <w:rPr>
          <w:spacing w:val="-2"/>
          <w:sz w:val="24"/>
        </w:rPr>
        <w:t xml:space="preserve">Laikoma, kad Sutartį sudarantys dokumentai vienas kitą paaiškina. </w:t>
      </w:r>
      <w:r>
        <w:rPr>
          <w:sz w:val="24"/>
        </w:rPr>
        <w:t>Jeigu Sutarties Specialiųjų sąlygų ir / ar jų priedų nuostatos neatitinka Sutarties Bendrųjų sąlygų nuostatų, pirmenybė yra teikiama Sutarties Specialiųjų sąlygų bei jų priedų nuostatoms.</w:t>
      </w:r>
      <w:r>
        <w:rPr>
          <w:spacing w:val="-2"/>
          <w:sz w:val="24"/>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rsidR="007E4B0F" w:rsidRDefault="009812D5">
      <w:pPr>
        <w:spacing w:after="0" w:line="240" w:lineRule="auto"/>
        <w:ind w:firstLine="360"/>
        <w:jc w:val="both"/>
      </w:pPr>
      <w:r>
        <w:rPr>
          <w:sz w:val="24"/>
        </w:rPr>
        <w:t xml:space="preserve">8.2. Sutarčiai taikoma pirkimo paskelbimo dieną aktuali AB „Lietuvos geležinkeliai“ generalinio direktoriaus įsakymu patvirtinta Sutarties Bendrųjų sąlygų redakcija, skelbiama tinklapyje </w:t>
      </w:r>
      <w:hyperlink r:id="rId7" w:history="1">
        <w:r>
          <w:rPr>
            <w:sz w:val="24"/>
            <w:u w:val="single"/>
          </w:rPr>
          <w:t>www.litrail.lt</w:t>
        </w:r>
      </w:hyperlink>
      <w:r>
        <w:rPr>
          <w:sz w:val="24"/>
        </w:rPr>
        <w:t xml:space="preserve">, su kurių nuostatomis Šalys yra visiškai susipažinusios ir jas vykdys. </w:t>
      </w:r>
    </w:p>
    <w:p w:rsidR="007E4B0F" w:rsidRDefault="009812D5">
      <w:pPr>
        <w:spacing w:after="0"/>
        <w:ind w:firstLine="360"/>
        <w:jc w:val="both"/>
        <w:rPr>
          <w:sz w:val="24"/>
        </w:rPr>
      </w:pPr>
      <w:r>
        <w:rPr>
          <w:sz w:val="24"/>
        </w:rPr>
        <w:t>8.3.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rsidR="007E4B0F" w:rsidRDefault="009812D5">
      <w:pPr>
        <w:spacing w:after="0"/>
        <w:ind w:firstLine="360"/>
        <w:jc w:val="both"/>
        <w:rPr>
          <w:sz w:val="24"/>
        </w:rPr>
      </w:pPr>
      <w:r>
        <w:rPr>
          <w:sz w:val="24"/>
        </w:rPr>
        <w:t>Tais atvejais, kai Pirkėjo reorganizavimo, atskyrimo, pertvarkymo ar įmonės perdavimo (įskaitant, bet neapsiribojant, turto arba įmonės įnešimo į trečiųjų asmenų įstatinį kapitalą ir pan.) atveju bus numatyta, jog šioje Sutartyje nustatytos Prekės yra reikalingi(-os)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rsidR="007E4B0F" w:rsidRDefault="009812D5">
      <w:pPr>
        <w:shd w:val="clear" w:color="auto" w:fill="FFFFFF"/>
        <w:spacing w:after="0"/>
        <w:ind w:firstLine="360"/>
        <w:jc w:val="both"/>
        <w:rPr>
          <w:sz w:val="24"/>
        </w:rPr>
      </w:pPr>
      <w:r>
        <w:rPr>
          <w:sz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rsidR="007E4B0F" w:rsidRDefault="009812D5">
      <w:pPr>
        <w:spacing w:after="0"/>
        <w:ind w:firstLine="360"/>
        <w:jc w:val="both"/>
        <w:rPr>
          <w:sz w:val="24"/>
        </w:rPr>
      </w:pPr>
      <w:r>
        <w:rPr>
          <w:sz w:val="24"/>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rsidR="007E4B0F" w:rsidRDefault="009812D5">
      <w:pPr>
        <w:spacing w:after="0" w:line="240" w:lineRule="auto"/>
        <w:ind w:firstLine="360"/>
        <w:jc w:val="both"/>
      </w:pPr>
      <w:r>
        <w:rPr>
          <w:sz w:val="24"/>
        </w:rPr>
        <w:t xml:space="preserve">8.4. </w:t>
      </w:r>
      <w:r>
        <w:rPr>
          <w:spacing w:val="-5"/>
          <w:sz w:val="24"/>
        </w:rPr>
        <w:t xml:space="preserve">Tiekėjas nėra laikomas asocijuotu su </w:t>
      </w:r>
      <w:r>
        <w:rPr>
          <w:sz w:val="24"/>
        </w:rPr>
        <w:t xml:space="preserve">Pirkėju </w:t>
      </w:r>
      <w:r>
        <w:rPr>
          <w:spacing w:val="-5"/>
          <w:sz w:val="24"/>
        </w:rPr>
        <w:t>pagal galiojančius Lietuvos Respublikos teisės aktus (Pridėtinės vertės mokesčio įstatymą, Pelno mokesčio įstatymą, Gyventojų pajamų mokesčio įstatymą).</w:t>
      </w:r>
    </w:p>
    <w:p w:rsidR="007E4B0F" w:rsidRDefault="009812D5">
      <w:pPr>
        <w:spacing w:after="0" w:line="240" w:lineRule="auto"/>
        <w:ind w:firstLine="360"/>
        <w:jc w:val="both"/>
      </w:pPr>
      <w:r>
        <w:rPr>
          <w:spacing w:val="-5"/>
          <w:sz w:val="24"/>
        </w:rPr>
        <w:t>8.5. Tiekėjas</w:t>
      </w:r>
      <w:r>
        <w:rPr>
          <w:sz w:val="24"/>
        </w:rPr>
        <w:t xml:space="preserve"> yra registruotas PVM mokėtoju Lietuvos Respublikoje. </w:t>
      </w:r>
    </w:p>
    <w:p w:rsidR="007E4B0F" w:rsidRDefault="009812D5">
      <w:pPr>
        <w:spacing w:after="0" w:line="240" w:lineRule="auto"/>
        <w:ind w:firstLine="360"/>
        <w:jc w:val="both"/>
      </w:pPr>
      <w:r>
        <w:rPr>
          <w:sz w:val="24"/>
        </w:rPr>
        <w:t>8.6.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rsidR="007E4B0F" w:rsidRDefault="009812D5">
      <w:pPr>
        <w:spacing w:after="0" w:line="240" w:lineRule="auto"/>
        <w:ind w:firstLine="360"/>
        <w:jc w:val="both"/>
        <w:rPr>
          <w:sz w:val="24"/>
        </w:rPr>
      </w:pPr>
      <w:r>
        <w:rPr>
          <w:sz w:val="24"/>
        </w:rPr>
        <w:t xml:space="preserve">8.7. Ši Sutartis sudaryta lietuvių kalba 2 (dviem) egzemplioriais, turinčiais vienodą teisinę galią, po vieną kiekvienai Šaliai. </w:t>
      </w:r>
    </w:p>
    <w:p w:rsidR="007E4B0F" w:rsidRDefault="009812D5">
      <w:pPr>
        <w:spacing w:after="0" w:line="240" w:lineRule="auto"/>
        <w:ind w:firstLine="360"/>
        <w:jc w:val="both"/>
      </w:pPr>
      <w:r>
        <w:rPr>
          <w:sz w:val="24"/>
          <w:lang w:val="en-US"/>
        </w:rPr>
        <w:t xml:space="preserve">8.8. </w:t>
      </w:r>
      <w:r>
        <w:rPr>
          <w:sz w:val="24"/>
        </w:rPr>
        <w:t>Sutarties Bendrosiose sąlygose nurodytos alternatyvios nuostatos (su prierašu „</w:t>
      </w:r>
      <w:r>
        <w:rPr>
          <w:i/>
          <w:sz w:val="24"/>
        </w:rPr>
        <w:t xml:space="preserve">jei taikoma“, „jei tokių būtų“, „jei tokių yra“ </w:t>
      </w:r>
      <w:r>
        <w:rPr>
          <w:sz w:val="24"/>
        </w:rPr>
        <w:t>ar pan</w:t>
      </w:r>
      <w:r>
        <w:rPr>
          <w:i/>
          <w:sz w:val="24"/>
        </w:rPr>
        <w:t>.</w:t>
      </w:r>
      <w:r>
        <w:rPr>
          <w:sz w:val="24"/>
        </w:rPr>
        <w:t>) taikomos tik tokiu atveju, jeigu jos konkrečiai aprašomos Sutarties Specialiosiose sąlygose.</w:t>
      </w:r>
    </w:p>
    <w:p w:rsidR="007E4B0F" w:rsidRDefault="009812D5">
      <w:pPr>
        <w:spacing w:after="0" w:line="240" w:lineRule="auto"/>
        <w:ind w:firstLine="360"/>
        <w:jc w:val="both"/>
        <w:rPr>
          <w:sz w:val="24"/>
        </w:rPr>
      </w:pPr>
      <w:r>
        <w:rPr>
          <w:sz w:val="24"/>
        </w:rPr>
        <w:t>8.9. Sutarties Specialiųjų sąlygų priedai:</w:t>
      </w:r>
    </w:p>
    <w:p w:rsidR="007E4B0F" w:rsidRDefault="009812D5">
      <w:pPr>
        <w:widowControl w:val="0"/>
        <w:spacing w:after="0" w:line="240" w:lineRule="auto"/>
        <w:ind w:firstLine="360"/>
        <w:jc w:val="both"/>
        <w:rPr>
          <w:sz w:val="24"/>
        </w:rPr>
      </w:pPr>
      <w:bookmarkStart w:id="4" w:name="_Toc438559501"/>
      <w:bookmarkStart w:id="5" w:name="_Toc438559828"/>
      <w:r>
        <w:rPr>
          <w:sz w:val="24"/>
        </w:rPr>
        <w:t xml:space="preserve">8.9.1. Priedas Nr. 1 – Tiekėjo pasiūlymas Pirkimui (prie Sutarties atskirai nepridedamas, o </w:t>
      </w:r>
      <w:r>
        <w:rPr>
          <w:sz w:val="24"/>
        </w:rPr>
        <w:lastRenderedPageBreak/>
        <w:t>originalas saugomas CVP IS);</w:t>
      </w:r>
    </w:p>
    <w:p w:rsidR="007E4B0F" w:rsidRDefault="009812D5">
      <w:pPr>
        <w:widowControl w:val="0"/>
        <w:spacing w:after="0" w:line="240" w:lineRule="auto"/>
        <w:ind w:firstLine="360"/>
        <w:jc w:val="both"/>
        <w:rPr>
          <w:sz w:val="24"/>
        </w:rPr>
      </w:pPr>
      <w:r>
        <w:rPr>
          <w:sz w:val="24"/>
        </w:rPr>
        <w:t xml:space="preserve">8.9.2. Priedas Nr. 2 – Sutarties įvykdymo užtikrinimas, pridedamas po Sutarties pasirašymo (originalas saugomas CVP IS). </w:t>
      </w:r>
    </w:p>
    <w:p w:rsidR="007E4B0F" w:rsidRDefault="009812D5">
      <w:pPr>
        <w:widowControl w:val="0"/>
        <w:spacing w:after="0" w:line="240" w:lineRule="auto"/>
        <w:ind w:firstLine="360"/>
        <w:jc w:val="both"/>
        <w:rPr>
          <w:sz w:val="24"/>
        </w:rPr>
      </w:pPr>
      <w:r>
        <w:rPr>
          <w:sz w:val="24"/>
        </w:rPr>
        <w:t>8.9.3. Priedas Nr. 3 – Manevrinio geležinkelio riedmens techninė specifikacija.</w:t>
      </w:r>
    </w:p>
    <w:p w:rsidR="007E4B0F" w:rsidRDefault="009812D5">
      <w:pPr>
        <w:widowControl w:val="0"/>
        <w:spacing w:after="0" w:line="240" w:lineRule="auto"/>
        <w:ind w:firstLine="360"/>
        <w:jc w:val="both"/>
      </w:pPr>
      <w:r>
        <w:rPr>
          <w:sz w:val="24"/>
          <w:lang w:val="en-US"/>
        </w:rPr>
        <w:t xml:space="preserve">8.9.4. </w:t>
      </w:r>
      <w:r>
        <w:rPr>
          <w:sz w:val="24"/>
        </w:rPr>
        <w:t>Priedas Nr. 4 - Avansinio mokėjimo užtikrinimo banko garantijos pavyzdys (prie Sutarties atskirai nepridedamas, o originalas saugomas CVP IS).</w:t>
      </w:r>
    </w:p>
    <w:p w:rsidR="007E4B0F" w:rsidRDefault="007E4B0F">
      <w:pPr>
        <w:widowControl w:val="0"/>
        <w:spacing w:after="0" w:line="240" w:lineRule="auto"/>
        <w:ind w:firstLine="360"/>
        <w:jc w:val="both"/>
      </w:pPr>
    </w:p>
    <w:p w:rsidR="007E4B0F" w:rsidRDefault="009812D5">
      <w:pPr>
        <w:keepNext/>
        <w:spacing w:after="0" w:line="240" w:lineRule="auto"/>
        <w:ind w:firstLine="360"/>
        <w:jc w:val="center"/>
        <w:rPr>
          <w:b/>
          <w:sz w:val="24"/>
        </w:rPr>
      </w:pPr>
      <w:r>
        <w:rPr>
          <w:b/>
          <w:sz w:val="24"/>
        </w:rPr>
        <w:t>9. ŠALIŲ ADRESAI IR REKVIZITAI</w:t>
      </w:r>
      <w:bookmarkEnd w:id="4"/>
      <w:bookmarkEnd w:id="5"/>
    </w:p>
    <w:tbl>
      <w:tblPr>
        <w:tblW w:w="9852" w:type="dxa"/>
        <w:tblLayout w:type="fixed"/>
        <w:tblCellMar>
          <w:left w:w="10" w:type="dxa"/>
          <w:right w:w="10" w:type="dxa"/>
        </w:tblCellMar>
        <w:tblLook w:val="0000" w:firstRow="0" w:lastRow="0" w:firstColumn="0" w:lastColumn="0" w:noHBand="0" w:noVBand="0"/>
      </w:tblPr>
      <w:tblGrid>
        <w:gridCol w:w="5130"/>
        <w:gridCol w:w="4722"/>
      </w:tblGrid>
      <w:tr w:rsidR="007E4B0F">
        <w:trPr>
          <w:trHeight w:val="316"/>
        </w:trPr>
        <w:tc>
          <w:tcPr>
            <w:tcW w:w="5130" w:type="dxa"/>
            <w:shd w:val="clear" w:color="auto" w:fill="auto"/>
            <w:tcMar>
              <w:top w:w="0" w:type="dxa"/>
              <w:left w:w="108" w:type="dxa"/>
              <w:bottom w:w="0" w:type="dxa"/>
              <w:right w:w="108" w:type="dxa"/>
            </w:tcMar>
          </w:tcPr>
          <w:p w:rsidR="007E4B0F" w:rsidRDefault="007E4B0F">
            <w:pPr>
              <w:tabs>
                <w:tab w:val="left" w:pos="3060"/>
                <w:tab w:val="center" w:pos="4767"/>
                <w:tab w:val="right" w:pos="9638"/>
              </w:tabs>
              <w:snapToGrid w:val="0"/>
              <w:spacing w:after="0" w:line="240" w:lineRule="auto"/>
              <w:ind w:left="-108" w:firstLine="360"/>
              <w:rPr>
                <w:b/>
                <w:sz w:val="24"/>
              </w:rPr>
            </w:pPr>
          </w:p>
          <w:p w:rsidR="007E4B0F" w:rsidRDefault="009812D5">
            <w:pPr>
              <w:tabs>
                <w:tab w:val="left" w:pos="3060"/>
                <w:tab w:val="center" w:pos="4767"/>
                <w:tab w:val="right" w:pos="9638"/>
              </w:tabs>
              <w:snapToGrid w:val="0"/>
              <w:spacing w:after="0" w:line="240" w:lineRule="auto"/>
              <w:ind w:left="-108" w:firstLine="360"/>
              <w:rPr>
                <w:b/>
                <w:sz w:val="24"/>
              </w:rPr>
            </w:pPr>
            <w:r>
              <w:rPr>
                <w:b/>
                <w:sz w:val="24"/>
              </w:rPr>
              <w:t>Pirkėjas</w:t>
            </w:r>
          </w:p>
          <w:p w:rsidR="007E4B0F" w:rsidRDefault="009812D5">
            <w:pPr>
              <w:tabs>
                <w:tab w:val="left" w:pos="3060"/>
                <w:tab w:val="center" w:pos="4819"/>
                <w:tab w:val="right" w:pos="9638"/>
              </w:tabs>
              <w:spacing w:after="0" w:line="240" w:lineRule="auto"/>
              <w:ind w:left="-108" w:firstLine="360"/>
              <w:rPr>
                <w:b/>
                <w:sz w:val="24"/>
              </w:rPr>
            </w:pPr>
            <w:r>
              <w:rPr>
                <w:b/>
                <w:sz w:val="24"/>
              </w:rPr>
              <w:t>AB „Lietuvos geležinkeliai“</w:t>
            </w:r>
          </w:p>
          <w:p w:rsidR="007E4B0F" w:rsidRDefault="007E4B0F">
            <w:pPr>
              <w:tabs>
                <w:tab w:val="left" w:pos="3060"/>
                <w:tab w:val="center" w:pos="4819"/>
                <w:tab w:val="right" w:pos="9638"/>
              </w:tabs>
              <w:spacing w:after="0" w:line="240" w:lineRule="auto"/>
              <w:ind w:left="-108" w:firstLine="360"/>
            </w:pPr>
          </w:p>
        </w:tc>
        <w:tc>
          <w:tcPr>
            <w:tcW w:w="4722" w:type="dxa"/>
            <w:shd w:val="clear" w:color="auto" w:fill="auto"/>
            <w:tcMar>
              <w:top w:w="0" w:type="dxa"/>
              <w:left w:w="108" w:type="dxa"/>
              <w:bottom w:w="0" w:type="dxa"/>
              <w:right w:w="108" w:type="dxa"/>
            </w:tcMar>
          </w:tcPr>
          <w:p w:rsidR="007E4B0F" w:rsidRDefault="009812D5">
            <w:pPr>
              <w:tabs>
                <w:tab w:val="left" w:pos="3060"/>
                <w:tab w:val="center" w:pos="4819"/>
                <w:tab w:val="right" w:pos="9638"/>
              </w:tabs>
              <w:snapToGrid w:val="0"/>
              <w:spacing w:after="0" w:line="240" w:lineRule="auto"/>
              <w:ind w:firstLine="360"/>
              <w:rPr>
                <w:b/>
                <w:sz w:val="24"/>
              </w:rPr>
            </w:pPr>
            <w:r>
              <w:rPr>
                <w:b/>
                <w:sz w:val="24"/>
              </w:rPr>
              <w:t>Tiekėjas</w:t>
            </w:r>
          </w:p>
          <w:p w:rsidR="007E4B0F" w:rsidRDefault="009812D5">
            <w:pPr>
              <w:tabs>
                <w:tab w:val="left" w:pos="3060"/>
                <w:tab w:val="center" w:pos="4819"/>
                <w:tab w:val="right" w:pos="9638"/>
              </w:tabs>
              <w:spacing w:after="0" w:line="240" w:lineRule="auto"/>
              <w:ind w:firstLine="360"/>
              <w:rPr>
                <w:b/>
                <w:sz w:val="24"/>
              </w:rPr>
            </w:pPr>
            <w:r>
              <w:rPr>
                <w:b/>
                <w:sz w:val="24"/>
              </w:rPr>
              <w:t>UAB „Alwark“</w:t>
            </w:r>
          </w:p>
        </w:tc>
      </w:tr>
      <w:tr w:rsidR="007E4B0F">
        <w:trPr>
          <w:trHeight w:val="629"/>
        </w:trPr>
        <w:tc>
          <w:tcPr>
            <w:tcW w:w="5130" w:type="dxa"/>
            <w:shd w:val="clear" w:color="auto" w:fill="auto"/>
            <w:tcMar>
              <w:top w:w="0" w:type="dxa"/>
              <w:left w:w="108" w:type="dxa"/>
              <w:bottom w:w="0" w:type="dxa"/>
              <w:right w:w="108" w:type="dxa"/>
            </w:tcMar>
          </w:tcPr>
          <w:p w:rsidR="007E4B0F" w:rsidRDefault="009812D5">
            <w:pPr>
              <w:tabs>
                <w:tab w:val="left" w:pos="3060"/>
              </w:tabs>
              <w:spacing w:after="0" w:line="240" w:lineRule="auto"/>
              <w:ind w:left="-108" w:firstLine="360"/>
              <w:rPr>
                <w:sz w:val="24"/>
              </w:rPr>
            </w:pPr>
            <w:r>
              <w:rPr>
                <w:sz w:val="24"/>
              </w:rPr>
              <w:t>Įmonės kodas 110053842</w:t>
            </w:r>
          </w:p>
          <w:p w:rsidR="007E4B0F" w:rsidRDefault="009812D5">
            <w:pPr>
              <w:tabs>
                <w:tab w:val="left" w:pos="3060"/>
              </w:tabs>
              <w:spacing w:after="0" w:line="240" w:lineRule="auto"/>
              <w:ind w:left="-108" w:firstLine="360"/>
              <w:rPr>
                <w:sz w:val="24"/>
              </w:rPr>
            </w:pPr>
            <w:r>
              <w:rPr>
                <w:sz w:val="24"/>
              </w:rPr>
              <w:t>PVM kodas LT 100538411</w:t>
            </w:r>
          </w:p>
          <w:p w:rsidR="007E4B0F" w:rsidRDefault="009812D5">
            <w:pPr>
              <w:tabs>
                <w:tab w:val="left" w:pos="3060"/>
              </w:tabs>
              <w:spacing w:after="0" w:line="240" w:lineRule="auto"/>
              <w:ind w:left="-108" w:firstLine="360"/>
              <w:rPr>
                <w:sz w:val="24"/>
              </w:rPr>
            </w:pPr>
            <w:r>
              <w:rPr>
                <w:sz w:val="24"/>
              </w:rPr>
              <w:t>Kontaktinis adresas:</w:t>
            </w:r>
          </w:p>
          <w:p w:rsidR="007E4B0F" w:rsidRDefault="009812D5">
            <w:pPr>
              <w:shd w:val="clear" w:color="auto" w:fill="FFFFFF"/>
              <w:tabs>
                <w:tab w:val="left" w:pos="993"/>
              </w:tabs>
              <w:spacing w:after="0" w:line="240" w:lineRule="auto"/>
              <w:rPr>
                <w:rFonts w:cs="Calibri"/>
              </w:rPr>
            </w:pPr>
            <w:r>
              <w:rPr>
                <w:rFonts w:cs="Calibri"/>
              </w:rPr>
              <w:t xml:space="preserve">     Mindaugo g. 12, Vilnius</w:t>
            </w:r>
          </w:p>
          <w:p w:rsidR="007E4B0F" w:rsidRDefault="009812D5">
            <w:pPr>
              <w:shd w:val="clear" w:color="auto" w:fill="FFFFFF"/>
              <w:tabs>
                <w:tab w:val="left" w:pos="993"/>
              </w:tabs>
              <w:spacing w:after="0" w:line="240" w:lineRule="auto"/>
              <w:rPr>
                <w:rFonts w:cs="Calibri"/>
              </w:rPr>
            </w:pPr>
            <w:r>
              <w:rPr>
                <w:rFonts w:cs="Calibri"/>
              </w:rPr>
              <w:t xml:space="preserve">     AB SEB bankas</w:t>
            </w:r>
          </w:p>
          <w:p w:rsidR="007E4B0F" w:rsidRDefault="009812D5">
            <w:pPr>
              <w:tabs>
                <w:tab w:val="left" w:pos="993"/>
              </w:tabs>
              <w:spacing w:after="0" w:line="240" w:lineRule="auto"/>
              <w:rPr>
                <w:rFonts w:cs="Calibri"/>
              </w:rPr>
            </w:pPr>
            <w:r>
              <w:rPr>
                <w:rFonts w:cs="Calibri"/>
              </w:rPr>
              <w:t xml:space="preserve">     A. s. LT68 7044 0600 0029 4239</w:t>
            </w:r>
          </w:p>
          <w:p w:rsidR="007E4B0F" w:rsidRDefault="009812D5">
            <w:pPr>
              <w:tabs>
                <w:tab w:val="left" w:pos="0"/>
                <w:tab w:val="left" w:pos="993"/>
              </w:tabs>
              <w:spacing w:after="0" w:line="240" w:lineRule="auto"/>
              <w:rPr>
                <w:rFonts w:cs="Calibri"/>
              </w:rPr>
            </w:pPr>
            <w:r>
              <w:rPr>
                <w:rFonts w:cs="Calibri"/>
              </w:rPr>
              <w:t xml:space="preserve">    Tel.: +370 52692038</w:t>
            </w:r>
          </w:p>
          <w:p w:rsidR="007E4B0F" w:rsidRDefault="009812D5">
            <w:pPr>
              <w:tabs>
                <w:tab w:val="left" w:pos="3060"/>
              </w:tabs>
              <w:spacing w:after="0" w:line="240" w:lineRule="auto"/>
            </w:pPr>
            <w:r>
              <w:rPr>
                <w:sz w:val="24"/>
              </w:rPr>
              <w:t xml:space="preserve">   El. p. info@litrail.lt</w:t>
            </w:r>
          </w:p>
        </w:tc>
        <w:tc>
          <w:tcPr>
            <w:tcW w:w="4722" w:type="dxa"/>
            <w:shd w:val="clear" w:color="auto" w:fill="auto"/>
            <w:tcMar>
              <w:top w:w="0" w:type="dxa"/>
              <w:left w:w="108" w:type="dxa"/>
              <w:bottom w:w="0" w:type="dxa"/>
              <w:right w:w="108" w:type="dxa"/>
            </w:tcMar>
          </w:tcPr>
          <w:p w:rsidR="007E4B0F" w:rsidRDefault="009812D5">
            <w:pPr>
              <w:spacing w:after="0" w:line="240" w:lineRule="auto"/>
              <w:ind w:firstLine="360"/>
              <w:rPr>
                <w:sz w:val="24"/>
              </w:rPr>
            </w:pPr>
            <w:r>
              <w:rPr>
                <w:sz w:val="24"/>
              </w:rPr>
              <w:t>Įmonės kodas  300638080</w:t>
            </w:r>
          </w:p>
          <w:p w:rsidR="007E4B0F" w:rsidRDefault="009812D5">
            <w:pPr>
              <w:widowControl w:val="0"/>
              <w:tabs>
                <w:tab w:val="center" w:pos="4153"/>
                <w:tab w:val="right" w:pos="8306"/>
              </w:tabs>
              <w:spacing w:after="0" w:line="240" w:lineRule="auto"/>
              <w:ind w:firstLine="360"/>
              <w:jc w:val="both"/>
              <w:rPr>
                <w:sz w:val="24"/>
              </w:rPr>
            </w:pPr>
            <w:r>
              <w:rPr>
                <w:sz w:val="24"/>
              </w:rPr>
              <w:t>PVM kodas LT100002923414</w:t>
            </w:r>
          </w:p>
          <w:p w:rsidR="007E4B0F" w:rsidRDefault="009812D5">
            <w:pPr>
              <w:tabs>
                <w:tab w:val="left" w:pos="3060"/>
              </w:tabs>
              <w:spacing w:after="0" w:line="240" w:lineRule="auto"/>
              <w:ind w:left="-108" w:firstLine="360"/>
              <w:rPr>
                <w:sz w:val="24"/>
              </w:rPr>
            </w:pPr>
            <w:r>
              <w:rPr>
                <w:sz w:val="24"/>
              </w:rPr>
              <w:t xml:space="preserve">  Kontaktinis adresas:</w:t>
            </w:r>
          </w:p>
          <w:p w:rsidR="007E4B0F" w:rsidRDefault="009812D5">
            <w:pPr>
              <w:widowControl w:val="0"/>
              <w:tabs>
                <w:tab w:val="left" w:pos="3060"/>
                <w:tab w:val="center" w:pos="4153"/>
                <w:tab w:val="right" w:pos="8306"/>
              </w:tabs>
              <w:spacing w:after="0" w:line="240" w:lineRule="auto"/>
              <w:ind w:firstLine="360"/>
              <w:jc w:val="both"/>
              <w:rPr>
                <w:sz w:val="24"/>
              </w:rPr>
            </w:pPr>
            <w:r>
              <w:rPr>
                <w:sz w:val="24"/>
              </w:rPr>
              <w:t>Kirtimų g. 47 B, Vilnius</w:t>
            </w:r>
          </w:p>
          <w:p w:rsidR="007E4B0F" w:rsidRDefault="009812D5">
            <w:pPr>
              <w:widowControl w:val="0"/>
              <w:tabs>
                <w:tab w:val="left" w:pos="3060"/>
                <w:tab w:val="center" w:pos="4153"/>
                <w:tab w:val="right" w:pos="8306"/>
              </w:tabs>
              <w:spacing w:after="0" w:line="240" w:lineRule="auto"/>
              <w:ind w:firstLine="360"/>
              <w:jc w:val="both"/>
              <w:rPr>
                <w:sz w:val="24"/>
              </w:rPr>
            </w:pPr>
            <w:r>
              <w:rPr>
                <w:sz w:val="24"/>
              </w:rPr>
              <w:t>Swedbank, AB</w:t>
            </w:r>
          </w:p>
          <w:p w:rsidR="007E4B0F" w:rsidRDefault="009812D5">
            <w:pPr>
              <w:widowControl w:val="0"/>
              <w:tabs>
                <w:tab w:val="center" w:pos="4153"/>
                <w:tab w:val="right" w:pos="8306"/>
              </w:tabs>
              <w:spacing w:after="0" w:line="240" w:lineRule="auto"/>
              <w:ind w:firstLine="360"/>
              <w:jc w:val="both"/>
              <w:rPr>
                <w:sz w:val="24"/>
              </w:rPr>
            </w:pPr>
            <w:r>
              <w:rPr>
                <w:sz w:val="24"/>
              </w:rPr>
              <w:t>a/s LT837300010121357008</w:t>
            </w:r>
          </w:p>
          <w:p w:rsidR="007E4B0F" w:rsidRDefault="009812D5">
            <w:pPr>
              <w:spacing w:after="0" w:line="240" w:lineRule="auto"/>
              <w:ind w:firstLine="360"/>
              <w:rPr>
                <w:sz w:val="24"/>
              </w:rPr>
            </w:pPr>
            <w:r>
              <w:rPr>
                <w:sz w:val="24"/>
              </w:rPr>
              <w:t>Tel. +370 52646330</w:t>
            </w:r>
          </w:p>
          <w:p w:rsidR="007E4B0F" w:rsidRDefault="009812D5">
            <w:pPr>
              <w:widowControl w:val="0"/>
              <w:tabs>
                <w:tab w:val="center" w:pos="4153"/>
                <w:tab w:val="right" w:pos="8306"/>
              </w:tabs>
              <w:spacing w:after="0" w:line="240" w:lineRule="auto"/>
              <w:ind w:firstLine="360"/>
              <w:jc w:val="both"/>
            </w:pPr>
            <w:r>
              <w:rPr>
                <w:sz w:val="24"/>
              </w:rPr>
              <w:t>El. p. info</w:t>
            </w:r>
            <w:r>
              <w:rPr>
                <w:sz w:val="24"/>
                <w:lang w:val="ru-RU"/>
              </w:rPr>
              <w:t>@alwark.lt</w:t>
            </w:r>
          </w:p>
          <w:p w:rsidR="007E4B0F" w:rsidRDefault="007E4B0F">
            <w:pPr>
              <w:tabs>
                <w:tab w:val="left" w:pos="3060"/>
                <w:tab w:val="center" w:pos="4819"/>
                <w:tab w:val="right" w:pos="9638"/>
              </w:tabs>
              <w:spacing w:after="0" w:line="240" w:lineRule="auto"/>
              <w:ind w:firstLine="360"/>
              <w:rPr>
                <w:sz w:val="24"/>
              </w:rPr>
            </w:pPr>
          </w:p>
        </w:tc>
      </w:tr>
      <w:tr w:rsidR="007E4B0F">
        <w:trPr>
          <w:trHeight w:val="105"/>
        </w:trPr>
        <w:tc>
          <w:tcPr>
            <w:tcW w:w="5130" w:type="dxa"/>
            <w:shd w:val="clear" w:color="auto" w:fill="auto"/>
            <w:tcMar>
              <w:top w:w="0" w:type="dxa"/>
              <w:left w:w="108" w:type="dxa"/>
              <w:bottom w:w="0" w:type="dxa"/>
              <w:right w:w="108" w:type="dxa"/>
            </w:tcMar>
          </w:tcPr>
          <w:p w:rsidR="007E4B0F" w:rsidRDefault="007E4B0F">
            <w:pPr>
              <w:tabs>
                <w:tab w:val="left" w:pos="3060"/>
              </w:tabs>
              <w:spacing w:after="0" w:line="240" w:lineRule="auto"/>
              <w:ind w:firstLine="360"/>
              <w:rPr>
                <w:sz w:val="24"/>
              </w:rPr>
            </w:pPr>
          </w:p>
        </w:tc>
        <w:tc>
          <w:tcPr>
            <w:tcW w:w="4722" w:type="dxa"/>
            <w:shd w:val="clear" w:color="auto" w:fill="auto"/>
            <w:tcMar>
              <w:top w:w="0" w:type="dxa"/>
              <w:left w:w="108" w:type="dxa"/>
              <w:bottom w:w="0" w:type="dxa"/>
              <w:right w:w="108" w:type="dxa"/>
            </w:tcMar>
          </w:tcPr>
          <w:p w:rsidR="007E4B0F" w:rsidRDefault="007E4B0F">
            <w:pPr>
              <w:spacing w:after="0" w:line="240" w:lineRule="auto"/>
              <w:ind w:firstLine="360"/>
              <w:rPr>
                <w:sz w:val="24"/>
              </w:rPr>
            </w:pPr>
          </w:p>
        </w:tc>
      </w:tr>
      <w:tr w:rsidR="007E4B0F">
        <w:trPr>
          <w:trHeight w:val="68"/>
        </w:trPr>
        <w:tc>
          <w:tcPr>
            <w:tcW w:w="5130" w:type="dxa"/>
            <w:shd w:val="clear" w:color="auto" w:fill="auto"/>
            <w:tcMar>
              <w:top w:w="0" w:type="dxa"/>
              <w:left w:w="108" w:type="dxa"/>
              <w:bottom w:w="0" w:type="dxa"/>
              <w:right w:w="108" w:type="dxa"/>
            </w:tcMar>
          </w:tcPr>
          <w:p w:rsidR="007E4B0F" w:rsidRDefault="007E4B0F">
            <w:pPr>
              <w:tabs>
                <w:tab w:val="left" w:pos="3060"/>
              </w:tabs>
              <w:spacing w:after="0" w:line="240" w:lineRule="auto"/>
              <w:ind w:left="-108" w:firstLine="360"/>
              <w:rPr>
                <w:sz w:val="24"/>
              </w:rPr>
            </w:pPr>
          </w:p>
        </w:tc>
        <w:tc>
          <w:tcPr>
            <w:tcW w:w="4722" w:type="dxa"/>
            <w:shd w:val="clear" w:color="auto" w:fill="auto"/>
            <w:tcMar>
              <w:top w:w="0" w:type="dxa"/>
              <w:left w:w="108" w:type="dxa"/>
              <w:bottom w:w="0" w:type="dxa"/>
              <w:right w:w="108" w:type="dxa"/>
            </w:tcMar>
          </w:tcPr>
          <w:p w:rsidR="007E4B0F" w:rsidRDefault="007E4B0F">
            <w:pPr>
              <w:spacing w:after="0" w:line="240" w:lineRule="auto"/>
              <w:ind w:firstLine="360"/>
              <w:rPr>
                <w:sz w:val="24"/>
              </w:rPr>
            </w:pPr>
          </w:p>
        </w:tc>
      </w:tr>
    </w:tbl>
    <w:p w:rsidR="007E4B0F" w:rsidRDefault="009812D5">
      <w:pPr>
        <w:tabs>
          <w:tab w:val="left" w:pos="6096"/>
        </w:tabs>
        <w:spacing w:after="0" w:line="240" w:lineRule="auto"/>
        <w:ind w:firstLine="360"/>
        <w:rPr>
          <w:sz w:val="24"/>
        </w:rPr>
      </w:pPr>
      <w:r>
        <w:rPr>
          <w:sz w:val="24"/>
        </w:rPr>
        <w:t>Generalinis direktorius</w:t>
      </w:r>
      <w:r>
        <w:rPr>
          <w:sz w:val="24"/>
        </w:rPr>
        <w:tab/>
        <w:t>Direktorius</w:t>
      </w:r>
    </w:p>
    <w:p w:rsidR="007E4B0F" w:rsidRDefault="009812D5">
      <w:pPr>
        <w:tabs>
          <w:tab w:val="left" w:pos="6096"/>
        </w:tabs>
        <w:spacing w:after="0" w:line="240" w:lineRule="auto"/>
        <w:ind w:firstLine="360"/>
      </w:pPr>
      <w:r>
        <w:rPr>
          <w:sz w:val="24"/>
        </w:rPr>
        <w:t>Mantas Bartuška</w:t>
      </w:r>
      <w:r>
        <w:rPr>
          <w:i/>
          <w:sz w:val="24"/>
        </w:rPr>
        <w:t xml:space="preserve">                            </w:t>
      </w:r>
      <w:r>
        <w:rPr>
          <w:i/>
          <w:sz w:val="24"/>
        </w:rPr>
        <w:tab/>
      </w:r>
      <w:r>
        <w:rPr>
          <w:sz w:val="24"/>
        </w:rPr>
        <w:t>Aivaras Kašuba</w:t>
      </w:r>
    </w:p>
    <w:p w:rsidR="007E4B0F" w:rsidRDefault="009812D5">
      <w:pPr>
        <w:spacing w:after="0" w:line="240" w:lineRule="auto"/>
        <w:ind w:firstLine="360"/>
        <w:rPr>
          <w:sz w:val="24"/>
        </w:rPr>
      </w:pPr>
      <w:r>
        <w:rPr>
          <w:sz w:val="24"/>
        </w:rPr>
        <w:t>_____________________</w:t>
      </w:r>
      <w:r>
        <w:rPr>
          <w:sz w:val="24"/>
        </w:rPr>
        <w:tab/>
        <w:t xml:space="preserve">                                           _______________________</w:t>
      </w:r>
    </w:p>
    <w:p w:rsidR="007E4B0F" w:rsidRDefault="009812D5">
      <w:pPr>
        <w:spacing w:after="0" w:line="240" w:lineRule="auto"/>
        <w:ind w:firstLine="360"/>
        <w:rPr>
          <w:sz w:val="24"/>
        </w:rPr>
      </w:pPr>
      <w:r>
        <w:rPr>
          <w:sz w:val="24"/>
        </w:rPr>
        <w:t xml:space="preserve">       (parašas)</w:t>
      </w:r>
      <w:r>
        <w:rPr>
          <w:sz w:val="24"/>
        </w:rPr>
        <w:tab/>
      </w:r>
      <w:r>
        <w:rPr>
          <w:sz w:val="24"/>
        </w:rPr>
        <w:tab/>
      </w:r>
      <w:r>
        <w:rPr>
          <w:sz w:val="24"/>
        </w:rPr>
        <w:tab/>
        <w:t xml:space="preserve">                             (parašas)</w:t>
      </w:r>
    </w:p>
    <w:p w:rsidR="007E4B0F" w:rsidRDefault="009812D5">
      <w:pPr>
        <w:spacing w:after="0" w:line="240" w:lineRule="auto"/>
        <w:ind w:firstLine="360"/>
        <w:rPr>
          <w:sz w:val="24"/>
        </w:rPr>
      </w:pPr>
      <w:r>
        <w:rPr>
          <w:sz w:val="24"/>
        </w:rPr>
        <w:tab/>
      </w:r>
      <w:r>
        <w:rPr>
          <w:sz w:val="24"/>
        </w:rPr>
        <w:tab/>
      </w:r>
    </w:p>
    <w:p w:rsidR="007E4B0F" w:rsidRDefault="009812D5">
      <w:pPr>
        <w:spacing w:after="0" w:line="240" w:lineRule="auto"/>
        <w:ind w:firstLine="360"/>
        <w:rPr>
          <w:sz w:val="24"/>
        </w:rPr>
      </w:pPr>
      <w:r>
        <w:rPr>
          <w:sz w:val="24"/>
        </w:rPr>
        <w:tab/>
      </w:r>
      <w:r>
        <w:rPr>
          <w:sz w:val="24"/>
        </w:rPr>
        <w:tab/>
      </w:r>
      <w:r>
        <w:rPr>
          <w:sz w:val="24"/>
        </w:rPr>
        <w:tab/>
        <w:t xml:space="preserve">                                  A.V.</w:t>
      </w:r>
    </w:p>
    <w:p w:rsidR="007E4B0F" w:rsidRDefault="009812D5">
      <w:pPr>
        <w:spacing w:after="0" w:line="240" w:lineRule="auto"/>
        <w:ind w:firstLine="360"/>
        <w:jc w:val="both"/>
        <w:rPr>
          <w:sz w:val="24"/>
        </w:rPr>
      </w:pPr>
      <w:r>
        <w:rPr>
          <w:sz w:val="24"/>
        </w:rPr>
        <w:t>Data: ________________</w:t>
      </w:r>
      <w:r>
        <w:rPr>
          <w:sz w:val="24"/>
        </w:rPr>
        <w:tab/>
      </w:r>
      <w:r>
        <w:rPr>
          <w:sz w:val="24"/>
        </w:rPr>
        <w:tab/>
        <w:t xml:space="preserve">                     Data: ________________</w:t>
      </w:r>
    </w:p>
    <w:tbl>
      <w:tblPr>
        <w:tblW w:w="518" w:type="dxa"/>
        <w:tblInd w:w="520" w:type="dxa"/>
        <w:tblCellMar>
          <w:left w:w="10" w:type="dxa"/>
          <w:right w:w="10" w:type="dxa"/>
        </w:tblCellMar>
        <w:tblLook w:val="0000" w:firstRow="0" w:lastRow="0" w:firstColumn="0" w:lastColumn="0" w:noHBand="0" w:noVBand="0"/>
      </w:tblPr>
      <w:tblGrid>
        <w:gridCol w:w="518"/>
      </w:tblGrid>
      <w:tr w:rsidR="007E4B0F">
        <w:trPr>
          <w:trHeight w:val="275"/>
        </w:trPr>
        <w:tc>
          <w:tcPr>
            <w:tcW w:w="518" w:type="dxa"/>
            <w:shd w:val="clear" w:color="auto" w:fill="auto"/>
            <w:tcMar>
              <w:top w:w="0" w:type="dxa"/>
              <w:left w:w="108" w:type="dxa"/>
              <w:bottom w:w="0" w:type="dxa"/>
              <w:right w:w="108" w:type="dxa"/>
            </w:tcMar>
          </w:tcPr>
          <w:p w:rsidR="007E4B0F" w:rsidRDefault="007E4B0F">
            <w:pPr>
              <w:spacing w:after="0" w:line="240" w:lineRule="auto"/>
              <w:ind w:firstLine="360"/>
              <w:rPr>
                <w:sz w:val="24"/>
              </w:rPr>
            </w:pPr>
          </w:p>
        </w:tc>
      </w:tr>
    </w:tbl>
    <w:p w:rsidR="007E4B0F" w:rsidRDefault="007E4B0F" w:rsidP="00A90E8B">
      <w:pPr>
        <w:spacing w:after="0" w:line="240" w:lineRule="auto"/>
        <w:ind w:firstLine="360"/>
        <w:jc w:val="both"/>
      </w:pPr>
      <w:bookmarkStart w:id="6" w:name="_GoBack"/>
      <w:bookmarkEnd w:id="6"/>
    </w:p>
    <w:sectPr w:rsidR="007E4B0F">
      <w:headerReference w:type="default" r:id="rId8"/>
      <w:footerReference w:type="default" r:id="rId9"/>
      <w:footerReference w:type="first" r:id="rId10"/>
      <w:pgSz w:w="11906" w:h="16838"/>
      <w:pgMar w:top="993" w:right="567" w:bottom="426" w:left="1701" w:header="720" w:footer="72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B42" w:rsidRDefault="00F10B42">
      <w:pPr>
        <w:spacing w:after="0" w:line="240" w:lineRule="auto"/>
      </w:pPr>
      <w:r>
        <w:separator/>
      </w:r>
    </w:p>
  </w:endnote>
  <w:endnote w:type="continuationSeparator" w:id="0">
    <w:p w:rsidR="00F10B42" w:rsidRDefault="00F1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2D5" w:rsidRDefault="00981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2D5" w:rsidRDefault="00981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B42" w:rsidRDefault="00F10B42">
      <w:pPr>
        <w:spacing w:after="0" w:line="240" w:lineRule="auto"/>
      </w:pPr>
      <w:r>
        <w:rPr>
          <w:color w:val="000000"/>
        </w:rPr>
        <w:separator/>
      </w:r>
    </w:p>
  </w:footnote>
  <w:footnote w:type="continuationSeparator" w:id="0">
    <w:p w:rsidR="00F10B42" w:rsidRDefault="00F10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2D5" w:rsidRDefault="009812D5">
    <w:pPr>
      <w:pStyle w:val="Header"/>
      <w:jc w:val="center"/>
    </w:pPr>
    <w:r>
      <w:fldChar w:fldCharType="begin"/>
    </w:r>
    <w:r>
      <w:instrText xml:space="preserve"> PAGE </w:instrText>
    </w:r>
    <w:r>
      <w:fldChar w:fldCharType="separate"/>
    </w:r>
    <w:r w:rsidR="00A90E8B">
      <w:rPr>
        <w:noProof/>
      </w:rPr>
      <w:t>2</w:t>
    </w:r>
    <w:r>
      <w:fldChar w:fldCharType="end"/>
    </w:r>
  </w:p>
  <w:p w:rsidR="009812D5" w:rsidRDefault="00981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76533"/>
    <w:multiLevelType w:val="multilevel"/>
    <w:tmpl w:val="3E2CACEA"/>
    <w:lvl w:ilvl="0">
      <w:start w:val="4"/>
      <w:numFmt w:val="decimal"/>
      <w:lvlText w:val="%1."/>
      <w:lvlJc w:val="left"/>
      <w:pPr>
        <w:ind w:left="720" w:hanging="360"/>
      </w:pPr>
    </w:lvl>
    <w:lvl w:ilvl="1">
      <w:start w:val="1"/>
      <w:numFmt w:val="decimal"/>
      <w:lvlText w:val="%1.%2."/>
      <w:lvlJc w:val="left"/>
      <w:pPr>
        <w:ind w:left="846"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 w15:restartNumberingAfterBreak="0">
    <w:nsid w:val="628006D6"/>
    <w:multiLevelType w:val="multilevel"/>
    <w:tmpl w:val="F530E674"/>
    <w:lvl w:ilvl="0">
      <w:start w:val="1"/>
      <w:numFmt w:val="decimal"/>
      <w:lvlText w:val="%1."/>
      <w:lvlJc w:val="left"/>
      <w:pPr>
        <w:ind w:left="720" w:hanging="360"/>
      </w:p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0F"/>
    <w:rsid w:val="00010C69"/>
    <w:rsid w:val="006756E1"/>
    <w:rsid w:val="007416A5"/>
    <w:rsid w:val="007E4B0F"/>
    <w:rsid w:val="009812D5"/>
    <w:rsid w:val="009A78FE"/>
    <w:rsid w:val="00A81851"/>
    <w:rsid w:val="00A90E8B"/>
    <w:rsid w:val="00F10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C8CBD-341C-4DFA-A006-30EC895C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spacing w:after="160" w:line="244"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638"/>
      </w:tabs>
      <w:spacing w:after="0" w:line="240" w:lineRule="auto"/>
    </w:pPr>
  </w:style>
  <w:style w:type="character" w:customStyle="1" w:styleId="FooterChar">
    <w:name w:val="Footer Char"/>
    <w:basedOn w:val="DefaultParagraphFont"/>
  </w:style>
  <w:style w:type="paragraph" w:styleId="Header">
    <w:name w:val="header"/>
    <w:basedOn w:val="Normal"/>
    <w:pPr>
      <w:tabs>
        <w:tab w:val="center" w:pos="4819"/>
        <w:tab w:val="right" w:pos="9638"/>
      </w:tabs>
      <w:spacing w:after="0" w:line="240" w:lineRule="auto"/>
    </w:pPr>
    <w:rPr>
      <w:rFonts w:ascii="Times New Roman" w:hAnsi="Times New Roman"/>
      <w:sz w:val="24"/>
    </w:rPr>
  </w:style>
  <w:style w:type="character" w:customStyle="1" w:styleId="HeaderChar">
    <w:name w:val="Header Char"/>
    <w:rPr>
      <w:rFonts w:ascii="Times New Roman" w:eastAsia="Calibri" w:hAnsi="Times New Roman" w:cs="Times New Roman"/>
      <w:sz w:val="24"/>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b/>
      <w:bCs/>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ind w:left="720"/>
    </w:pPr>
  </w:style>
  <w:style w:type="paragraph" w:styleId="BodyTextIndent">
    <w:name w:val="Body Text Indent"/>
    <w:basedOn w:val="Normal"/>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rPr>
      <w:rFonts w:ascii="Times New Roman" w:eastAsia="Times New Roman" w:hAnsi="Times New Roman" w:cs="Times New Roman"/>
      <w:sz w:val="24"/>
      <w:szCs w:val="20"/>
    </w:rPr>
  </w:style>
  <w:style w:type="character" w:customStyle="1" w:styleId="ListParagraphChar">
    <w:name w:val="List Paragraph Char"/>
  </w:style>
  <w:style w:type="character" w:styleId="Hyperlink">
    <w:name w:val="Hyperlink"/>
    <w:rPr>
      <w:b/>
      <w:bCs/>
      <w:strike w:val="0"/>
      <w:dstrike w:val="0"/>
      <w:color w:val="5681B2"/>
      <w:spacing w:val="5"/>
      <w:u w:val="none"/>
      <w:shd w:val="clear" w:color="auto" w:fill="auto"/>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rPr>
      <w:sz w:val="20"/>
      <w:szCs w:val="20"/>
    </w:rPr>
  </w:style>
  <w:style w:type="character" w:styleId="FootnoteReference">
    <w:name w:val="footnote reference"/>
    <w:rPr>
      <w:position w:val="0"/>
      <w:vertAlign w:val="superscript"/>
    </w:rPr>
  </w:style>
  <w:style w:type="character" w:customStyle="1" w:styleId="Laukeliai">
    <w:name w:val="Laukeliai"/>
    <w:rPr>
      <w:rFonts w:ascii="Arial" w:hAnsi="Arial"/>
      <w:sz w:val="20"/>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Revision">
    <w:name w:val="Revision"/>
    <w:pPr>
      <w:suppressAutoHyphens/>
      <w:autoSpaceDN w:val="0"/>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tra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9532</Words>
  <Characters>5434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Asvydė Beržanskienė</cp:lastModifiedBy>
  <cp:revision>2</cp:revision>
  <dcterms:created xsi:type="dcterms:W3CDTF">2019-06-25T10:22:00Z</dcterms:created>
  <dcterms:modified xsi:type="dcterms:W3CDTF">2019-06-25T10:22:00Z</dcterms:modified>
</cp:coreProperties>
</file>