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0318" w14:textId="77777777" w:rsidR="00553395" w:rsidRPr="00BF2940" w:rsidRDefault="00553395" w:rsidP="00553395">
      <w:pPr>
        <w:keepNext/>
        <w:keepLines/>
        <w:spacing w:before="120"/>
        <w:ind w:left="5184"/>
        <w:outlineLvl w:val="1"/>
        <w:rPr>
          <w:rFonts w:asciiTheme="minorHAnsi" w:eastAsia="Calibri" w:hAnsiTheme="minorHAnsi" w:cstheme="minorHAnsi"/>
          <w:b/>
          <w:sz w:val="22"/>
          <w:szCs w:val="22"/>
          <w:lang w:eastAsia="lt-LT"/>
        </w:rPr>
      </w:pPr>
      <w:bookmarkStart w:id="0" w:name="_Toc115102580"/>
      <w:r w:rsidRPr="00BF2940">
        <w:rPr>
          <w:rFonts w:asciiTheme="minorHAnsi" w:eastAsia="Calibri" w:hAnsiTheme="minorHAnsi" w:cstheme="minorHAnsi"/>
          <w:b/>
          <w:sz w:val="22"/>
          <w:szCs w:val="22"/>
          <w:lang w:eastAsia="lt-LT"/>
        </w:rPr>
        <w:t xml:space="preserve">Pirkimo </w:t>
      </w:r>
      <w:r w:rsidRPr="00006F91">
        <w:rPr>
          <w:rFonts w:asciiTheme="minorHAnsi" w:eastAsia="Calibri" w:hAnsiTheme="minorHAnsi" w:cstheme="minorHAnsi"/>
          <w:b/>
          <w:sz w:val="22"/>
          <w:szCs w:val="22"/>
          <w:lang w:eastAsia="lt-LT"/>
        </w:rPr>
        <w:t>sąlygų 3 priedas „Tiekėjų</w:t>
      </w:r>
      <w:r w:rsidRPr="00BF2940">
        <w:rPr>
          <w:rFonts w:asciiTheme="minorHAnsi" w:eastAsia="Calibri" w:hAnsiTheme="minorHAnsi" w:cstheme="minorHAnsi"/>
          <w:b/>
          <w:sz w:val="22"/>
          <w:szCs w:val="22"/>
          <w:lang w:eastAsia="lt-LT"/>
        </w:rPr>
        <w:t xml:space="preserve"> kvalifikacijos reikalavimai ir reikalaujami kokybės bei aplinkos apsaugos vadybos sistemų standartai“</w:t>
      </w:r>
      <w:bookmarkEnd w:id="0"/>
    </w:p>
    <w:p w14:paraId="01D89C4B" w14:textId="77777777" w:rsidR="00553395" w:rsidRPr="00BF2940" w:rsidRDefault="00553395" w:rsidP="00553395">
      <w:pPr>
        <w:jc w:val="center"/>
        <w:rPr>
          <w:rFonts w:asciiTheme="minorHAnsi" w:eastAsiaTheme="minorHAnsi" w:hAnsiTheme="minorHAnsi" w:cstheme="minorHAnsi"/>
          <w:sz w:val="22"/>
          <w:szCs w:val="22"/>
        </w:rPr>
      </w:pPr>
    </w:p>
    <w:p w14:paraId="6DF0A44A" w14:textId="77777777" w:rsidR="00553395" w:rsidRPr="00BF2940" w:rsidRDefault="00553395" w:rsidP="00BF2940">
      <w:pPr>
        <w:spacing w:after="480" w:line="276" w:lineRule="auto"/>
        <w:jc w:val="center"/>
        <w:rPr>
          <w:rFonts w:asciiTheme="minorHAnsi" w:eastAsia="Arial" w:hAnsiTheme="minorHAnsi" w:cstheme="minorHAnsi"/>
          <w:b/>
          <w:bCs/>
          <w:smallCaps/>
          <w:lang w:eastAsia="lt-LT"/>
        </w:rPr>
      </w:pPr>
      <w:r w:rsidRPr="00BF2940">
        <w:rPr>
          <w:rFonts w:asciiTheme="minorHAnsi" w:eastAsia="Arial" w:hAnsiTheme="minorHAnsi" w:cstheme="minorHAnsi"/>
          <w:b/>
          <w:bCs/>
          <w:smallCaps/>
          <w:lang w:eastAsia="lt-LT"/>
        </w:rPr>
        <w:t>TIEKĖJŲ KVALIFIKACIJOS REIKALAVIMAI IR REIKALAVIMAI LAIKYTIS KOKYBĖS VADYBOS SISTEMOS IR (ARBA) APLINKOS APSAUGOS VADYBOS SISTEMOS STANDARTŲ</w:t>
      </w:r>
    </w:p>
    <w:p w14:paraId="0A3A1155" w14:textId="514F9432" w:rsidR="00557824" w:rsidRPr="00BF2940" w:rsidRDefault="00557824" w:rsidP="00557824">
      <w:pPr>
        <w:numPr>
          <w:ilvl w:val="0"/>
          <w:numId w:val="1"/>
        </w:numPr>
        <w:tabs>
          <w:tab w:val="left" w:pos="851"/>
        </w:tabs>
        <w:spacing w:after="160" w:line="276" w:lineRule="auto"/>
        <w:ind w:left="0" w:firstLine="567"/>
        <w:contextualSpacing/>
        <w:jc w:val="both"/>
        <w:rPr>
          <w:rFonts w:asciiTheme="minorHAnsi" w:eastAsiaTheme="minorHAnsi" w:hAnsiTheme="minorHAnsi" w:cstheme="minorHAnsi"/>
          <w:sz w:val="22"/>
          <w:szCs w:val="22"/>
        </w:rPr>
      </w:pPr>
      <w:r w:rsidRPr="00BF2940">
        <w:rPr>
          <w:rFonts w:asciiTheme="minorHAnsi" w:eastAsiaTheme="minorHAnsi" w:hAnsiTheme="minorHAnsi" w:cstheme="minorHAnsi"/>
          <w:sz w:val="22"/>
          <w:szCs w:val="22"/>
        </w:rPr>
        <w:t>Kartu su pasiūlymu teikiamas tik EBVPD. Kvalifikaciją patvirtinančių dokumentų prašoma tik iš galimo laimėtojo.</w:t>
      </w:r>
    </w:p>
    <w:p w14:paraId="43DB89D2" w14:textId="48C6B5D2" w:rsidR="00553395" w:rsidRPr="00BF2940" w:rsidRDefault="00553395" w:rsidP="00557824">
      <w:pPr>
        <w:numPr>
          <w:ilvl w:val="0"/>
          <w:numId w:val="1"/>
        </w:numPr>
        <w:tabs>
          <w:tab w:val="left" w:pos="851"/>
        </w:tabs>
        <w:spacing w:after="160" w:line="276" w:lineRule="auto"/>
        <w:ind w:left="0" w:firstLine="567"/>
        <w:contextualSpacing/>
        <w:jc w:val="both"/>
        <w:rPr>
          <w:rFonts w:asciiTheme="minorHAnsi" w:eastAsiaTheme="minorHAnsi" w:hAnsiTheme="minorHAnsi" w:cstheme="minorHAnsi"/>
          <w:sz w:val="22"/>
          <w:szCs w:val="22"/>
        </w:rPr>
      </w:pPr>
      <w:r w:rsidRPr="00BF2940">
        <w:rPr>
          <w:rFonts w:asciiTheme="minorHAnsi" w:eastAsiaTheme="minorHAnsi" w:hAnsiTheme="minorHAnsi" w:cstheme="minorHAnsi"/>
          <w:sz w:val="22"/>
          <w:szCs w:val="22"/>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1F59EFFE" w14:textId="77777777" w:rsidR="00553395" w:rsidRPr="00BF2940" w:rsidRDefault="00553395" w:rsidP="00553395">
      <w:pPr>
        <w:ind w:left="567"/>
        <w:contextualSpacing/>
        <w:jc w:val="both"/>
        <w:rPr>
          <w:rFonts w:asciiTheme="minorHAnsi" w:eastAsiaTheme="minorHAnsi" w:hAnsiTheme="minorHAnsi" w:cstheme="minorHAnsi"/>
          <w:sz w:val="22"/>
          <w:szCs w:val="22"/>
        </w:rPr>
      </w:pPr>
    </w:p>
    <w:tbl>
      <w:tblPr>
        <w:tblW w:w="9924" w:type="dxa"/>
        <w:tblInd w:w="-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8"/>
        <w:gridCol w:w="3544"/>
        <w:gridCol w:w="2977"/>
        <w:gridCol w:w="2835"/>
      </w:tblGrid>
      <w:tr w:rsidR="00B369BA" w:rsidRPr="00BF2940" w14:paraId="0C5B9519" w14:textId="5F0DEE5E" w:rsidTr="00BF2940">
        <w:trPr>
          <w:trHeight w:val="493"/>
        </w:trPr>
        <w:tc>
          <w:tcPr>
            <w:tcW w:w="5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858A56F" w14:textId="77777777" w:rsidR="00B369BA" w:rsidRPr="00BF2940" w:rsidRDefault="00B369BA" w:rsidP="00B369BA">
            <w:pPr>
              <w:pBdr>
                <w:top w:val="nil"/>
                <w:left w:val="nil"/>
                <w:bottom w:val="nil"/>
                <w:right w:val="nil"/>
                <w:between w:val="nil"/>
                <w:bar w:val="nil"/>
              </w:pBdr>
              <w:suppressAutoHyphens/>
              <w:spacing w:after="40"/>
              <w:jc w:val="both"/>
              <w:rPr>
                <w:rFonts w:asciiTheme="minorHAnsi" w:hAnsiTheme="minorHAnsi" w:cstheme="minorHAnsi"/>
                <w:b/>
                <w:sz w:val="22"/>
                <w:szCs w:val="22"/>
              </w:rPr>
            </w:pPr>
            <w:r w:rsidRPr="00BF2940">
              <w:rPr>
                <w:rFonts w:asciiTheme="minorHAnsi" w:eastAsiaTheme="minorHAnsi" w:hAnsiTheme="minorHAnsi" w:cstheme="minorHAnsi"/>
                <w:b/>
                <w:bCs/>
                <w:sz w:val="22"/>
                <w:szCs w:val="22"/>
                <w:lang w:eastAsia="lt-LT"/>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BCF7C13" w14:textId="77777777" w:rsidR="00B369BA" w:rsidRPr="00BF2940" w:rsidRDefault="00B369BA" w:rsidP="00B369BA">
            <w:pPr>
              <w:pBdr>
                <w:top w:val="nil"/>
                <w:left w:val="nil"/>
                <w:bottom w:val="nil"/>
                <w:right w:val="nil"/>
                <w:between w:val="nil"/>
                <w:bar w:val="nil"/>
              </w:pBdr>
              <w:suppressAutoHyphens/>
              <w:spacing w:after="40"/>
              <w:jc w:val="both"/>
              <w:rPr>
                <w:rFonts w:asciiTheme="minorHAnsi" w:hAnsiTheme="minorHAnsi" w:cstheme="minorHAnsi"/>
                <w:b/>
                <w:sz w:val="22"/>
                <w:szCs w:val="22"/>
              </w:rPr>
            </w:pPr>
            <w:r w:rsidRPr="00BF2940">
              <w:rPr>
                <w:rFonts w:asciiTheme="minorHAnsi" w:eastAsiaTheme="minorEastAsia" w:hAnsiTheme="minorHAnsi" w:cstheme="minorHAnsi"/>
                <w:b/>
                <w:bCs/>
                <w:color w:val="000000"/>
                <w:sz w:val="22"/>
                <w:szCs w:val="22"/>
                <w:lang w:eastAsia="lt-LT"/>
              </w:rPr>
              <w:t>Kvalifikacijos reikalavimas</w:t>
            </w:r>
          </w:p>
        </w:tc>
        <w:tc>
          <w:tcPr>
            <w:tcW w:w="297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1D7BC32" w14:textId="77777777" w:rsidR="00B369BA" w:rsidRPr="00BF2940" w:rsidRDefault="00B369BA" w:rsidP="00B369BA">
            <w:pPr>
              <w:pBdr>
                <w:top w:val="nil"/>
                <w:left w:val="nil"/>
                <w:bottom w:val="nil"/>
                <w:right w:val="nil"/>
                <w:between w:val="nil"/>
                <w:bar w:val="nil"/>
              </w:pBdr>
              <w:suppressAutoHyphens/>
              <w:spacing w:after="40"/>
              <w:jc w:val="both"/>
              <w:rPr>
                <w:rFonts w:asciiTheme="minorHAnsi" w:hAnsiTheme="minorHAnsi" w:cstheme="minorHAnsi"/>
                <w:b/>
                <w:sz w:val="22"/>
                <w:szCs w:val="22"/>
              </w:rPr>
            </w:pPr>
            <w:r w:rsidRPr="00BF2940">
              <w:rPr>
                <w:rFonts w:asciiTheme="minorHAnsi" w:eastAsiaTheme="minorEastAsia" w:hAnsiTheme="minorHAnsi" w:cstheme="minorHAnsi"/>
                <w:b/>
                <w:bCs/>
                <w:color w:val="000000"/>
                <w:sz w:val="22"/>
                <w:szCs w:val="22"/>
                <w:lang w:eastAsia="lt-LT"/>
              </w:rPr>
              <w:t>Atitiktį reikalavimui įrodantys dokumentai</w:t>
            </w:r>
          </w:p>
        </w:tc>
        <w:tc>
          <w:tcPr>
            <w:tcW w:w="2835" w:type="dxa"/>
            <w:shd w:val="clear" w:color="auto" w:fill="DAEEF3" w:themeFill="accent5" w:themeFillTint="33"/>
          </w:tcPr>
          <w:p w14:paraId="347E738D" w14:textId="208F140B" w:rsidR="00B369BA" w:rsidRPr="00BF2940" w:rsidRDefault="00B369BA" w:rsidP="00B369BA">
            <w:pPr>
              <w:pBdr>
                <w:top w:val="nil"/>
                <w:left w:val="nil"/>
                <w:bottom w:val="nil"/>
                <w:right w:val="nil"/>
                <w:between w:val="nil"/>
                <w:bar w:val="nil"/>
              </w:pBdr>
              <w:suppressAutoHyphens/>
              <w:spacing w:after="40"/>
              <w:jc w:val="both"/>
              <w:rPr>
                <w:rFonts w:asciiTheme="minorHAnsi" w:eastAsiaTheme="minorEastAsia" w:hAnsiTheme="minorHAnsi" w:cstheme="minorHAnsi"/>
                <w:b/>
                <w:bCs/>
                <w:color w:val="000000"/>
                <w:sz w:val="22"/>
                <w:szCs w:val="22"/>
                <w:lang w:eastAsia="lt-LT"/>
              </w:rPr>
            </w:pPr>
            <w:r w:rsidRPr="00BF2940">
              <w:rPr>
                <w:rFonts w:asciiTheme="minorHAnsi" w:eastAsiaTheme="minorHAnsi" w:hAnsiTheme="minorHAnsi" w:cstheme="minorHAnsi"/>
                <w:b/>
                <w:sz w:val="22"/>
                <w:szCs w:val="22"/>
              </w:rPr>
              <w:t>Subjektas, kuris turi atitikti reikalavimą</w:t>
            </w:r>
          </w:p>
        </w:tc>
      </w:tr>
      <w:tr w:rsidR="00F964D1" w:rsidRPr="00BF2940" w14:paraId="77092EAD" w14:textId="77777777" w:rsidTr="00F964D1">
        <w:trPr>
          <w:trHeight w:val="493"/>
        </w:trPr>
        <w:tc>
          <w:tcPr>
            <w:tcW w:w="5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4B095" w14:textId="74A43365" w:rsidR="00F964D1" w:rsidRPr="00BF2940" w:rsidRDefault="00F964D1" w:rsidP="00F964D1">
            <w:pPr>
              <w:pBdr>
                <w:top w:val="nil"/>
                <w:left w:val="nil"/>
                <w:bottom w:val="nil"/>
                <w:right w:val="nil"/>
                <w:between w:val="nil"/>
                <w:bar w:val="nil"/>
              </w:pBdr>
              <w:suppressAutoHyphens/>
              <w:spacing w:after="40"/>
              <w:jc w:val="both"/>
              <w:rPr>
                <w:rFonts w:asciiTheme="minorHAnsi" w:eastAsiaTheme="minorHAnsi" w:hAnsiTheme="minorHAnsi" w:cstheme="minorHAnsi"/>
                <w:b/>
                <w:bCs/>
                <w:sz w:val="22"/>
                <w:szCs w:val="22"/>
                <w:lang w:eastAsia="lt-LT"/>
              </w:rPr>
            </w:pPr>
            <w:r w:rsidRPr="00BF2940">
              <w:rPr>
                <w:rFonts w:asciiTheme="minorHAnsi" w:eastAsia="Arial Unicode MS" w:hAnsiTheme="minorHAnsi" w:cstheme="minorHAnsi"/>
                <w:color w:val="000000"/>
                <w:sz w:val="22"/>
                <w:szCs w:val="22"/>
                <w:bdr w:val="none" w:sz="0" w:space="0" w:color="auto" w:frame="1"/>
                <w:lang w:eastAsia="lt-LT"/>
              </w:rPr>
              <w:t>1.</w:t>
            </w:r>
          </w:p>
        </w:tc>
        <w:tc>
          <w:tcPr>
            <w:tcW w:w="9356" w:type="dxa"/>
            <w:gridSpan w:val="3"/>
            <w:tcBorders>
              <w:top w:val="single" w:sz="4" w:space="0" w:color="000000"/>
              <w:left w:val="single" w:sz="4" w:space="0" w:color="000000"/>
              <w:bottom w:val="single" w:sz="4" w:space="0" w:color="000000"/>
            </w:tcBorders>
            <w:shd w:val="clear" w:color="auto" w:fill="FFFFFF" w:themeFill="background1"/>
            <w:vAlign w:val="center"/>
          </w:tcPr>
          <w:p w14:paraId="4B041793" w14:textId="74632A26" w:rsidR="00F964D1" w:rsidRPr="00BF2940" w:rsidRDefault="00F964D1" w:rsidP="00F964D1">
            <w:pPr>
              <w:pBdr>
                <w:top w:val="nil"/>
                <w:left w:val="nil"/>
                <w:bottom w:val="nil"/>
                <w:right w:val="nil"/>
                <w:between w:val="nil"/>
                <w:bar w:val="nil"/>
              </w:pBdr>
              <w:suppressAutoHyphens/>
              <w:spacing w:after="40"/>
              <w:rPr>
                <w:rFonts w:asciiTheme="minorHAnsi" w:eastAsiaTheme="minorHAnsi" w:hAnsiTheme="minorHAnsi" w:cstheme="minorHAnsi"/>
                <w:b/>
                <w:sz w:val="22"/>
                <w:szCs w:val="22"/>
              </w:rPr>
            </w:pPr>
            <w:r w:rsidRPr="00BF2940">
              <w:rPr>
                <w:rFonts w:asciiTheme="minorHAnsi" w:eastAsia="Arial Unicode MS" w:hAnsiTheme="minorHAnsi" w:cstheme="minorHAnsi"/>
                <w:b/>
                <w:sz w:val="22"/>
                <w:szCs w:val="22"/>
                <w:lang w:eastAsia="lt-LT"/>
              </w:rPr>
              <w:t>Techninis ir profesinis pajėgumas</w:t>
            </w:r>
          </w:p>
        </w:tc>
      </w:tr>
      <w:tr w:rsidR="00F964D1" w:rsidRPr="00BF2940" w14:paraId="1A1B945D" w14:textId="6CFA1F88" w:rsidTr="00BF2940">
        <w:trPr>
          <w:trHeight w:val="4177"/>
        </w:trPr>
        <w:tc>
          <w:tcPr>
            <w:tcW w:w="568" w:type="dxa"/>
          </w:tcPr>
          <w:p w14:paraId="307385C6" w14:textId="20D00921" w:rsidR="00F964D1" w:rsidRPr="00BF2940" w:rsidRDefault="00F964D1" w:rsidP="00F964D1">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BF2940">
              <w:rPr>
                <w:rFonts w:asciiTheme="minorHAnsi" w:eastAsia="Arial Unicode MS" w:hAnsiTheme="minorHAnsi" w:cstheme="minorHAnsi"/>
                <w:sz w:val="22"/>
                <w:szCs w:val="22"/>
                <w:bdr w:val="nil"/>
                <w:lang w:eastAsia="lt-LT"/>
              </w:rPr>
              <w:t>1.1.</w:t>
            </w:r>
          </w:p>
        </w:tc>
        <w:tc>
          <w:tcPr>
            <w:tcW w:w="3544" w:type="dxa"/>
          </w:tcPr>
          <w:p w14:paraId="5ADFBE6A" w14:textId="6E00FCE4"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sz w:val="22"/>
                <w:szCs w:val="22"/>
                <w:lang w:eastAsia="lt-LT"/>
              </w:rPr>
              <w:t>Tiekėjas turi pasiūlyti bent 1 (vieną) specialistą – darbų vadovą, kuris turi teisę vykdyti darbus elektros įrenginiuose iki 1000 V:</w:t>
            </w:r>
          </w:p>
          <w:p w14:paraId="5498DF45" w14:textId="77777777"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b/>
                <w:sz w:val="22"/>
                <w:szCs w:val="22"/>
                <w:lang w:eastAsia="lt-LT"/>
              </w:rPr>
              <w:t>Veiklos sritis</w:t>
            </w:r>
            <w:r w:rsidRPr="00BF2940">
              <w:rPr>
                <w:rFonts w:asciiTheme="minorHAnsi" w:eastAsiaTheme="minorEastAsia" w:hAnsiTheme="minorHAnsi" w:cstheme="minorHAnsi"/>
                <w:sz w:val="22"/>
                <w:szCs w:val="22"/>
                <w:lang w:eastAsia="lt-LT"/>
              </w:rPr>
              <w:t xml:space="preserve"> – Elektros įrenginių eksploatavimas; </w:t>
            </w:r>
          </w:p>
          <w:p w14:paraId="07BA3016" w14:textId="77777777"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b/>
                <w:sz w:val="22"/>
                <w:szCs w:val="22"/>
                <w:lang w:eastAsia="lt-LT"/>
              </w:rPr>
              <w:t>Energetikos darbuotojų kategorija</w:t>
            </w:r>
            <w:r w:rsidRPr="00BF2940">
              <w:rPr>
                <w:rFonts w:asciiTheme="minorHAnsi" w:eastAsiaTheme="minorEastAsia" w:hAnsiTheme="minorHAnsi" w:cstheme="minorHAnsi"/>
                <w:sz w:val="22"/>
                <w:szCs w:val="22"/>
                <w:lang w:eastAsia="lt-LT"/>
              </w:rPr>
              <w:t xml:space="preserve"> – Elektrotechnikos darbuotojas</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AK vykdantis darbus elektros įrenginiuose</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 xml:space="preserve">iki 1000 V.; </w:t>
            </w:r>
          </w:p>
          <w:p w14:paraId="0CD3838D" w14:textId="77777777"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b/>
                <w:sz w:val="22"/>
                <w:szCs w:val="22"/>
                <w:lang w:eastAsia="lt-LT"/>
              </w:rPr>
              <w:t>Atestavimo sritis ir teikiamos teisės</w:t>
            </w:r>
            <w:r w:rsidRPr="00BF2940">
              <w:rPr>
                <w:rFonts w:asciiTheme="minorHAnsi" w:eastAsiaTheme="minorEastAsia" w:hAnsiTheme="minorHAnsi" w:cstheme="minorHAnsi"/>
                <w:sz w:val="22"/>
                <w:szCs w:val="22"/>
                <w:lang w:eastAsia="lt-LT"/>
              </w:rPr>
              <w:t xml:space="preserve"> –Eksploatuoti (technologiškai valdyti, techniškai prižiūrėti, remontuoti, matuoti, bandyti, paleisti ir derinti) elektros įrenginius</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iki 1000 V. Suteikiamos teisės vykdyti darbų vadovo</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AK funkcijas elektros įrenginiuose</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 xml:space="preserve">iki 1000 V. </w:t>
            </w:r>
          </w:p>
        </w:tc>
        <w:tc>
          <w:tcPr>
            <w:tcW w:w="2977" w:type="dxa"/>
            <w:tcBorders>
              <w:top w:val="single" w:sz="4" w:space="0" w:color="auto"/>
              <w:left w:val="single" w:sz="4" w:space="0" w:color="auto"/>
              <w:bottom w:val="single" w:sz="4" w:space="0" w:color="auto"/>
              <w:right w:val="single" w:sz="4" w:space="0" w:color="auto"/>
            </w:tcBorders>
          </w:tcPr>
          <w:p w14:paraId="296A7D9C" w14:textId="77777777" w:rsidR="00F964D1" w:rsidRPr="00BF2940" w:rsidRDefault="00F964D1" w:rsidP="00F964D1">
            <w:pPr>
              <w:suppressAutoHyphens/>
              <w:spacing w:after="40" w:line="276" w:lineRule="auto"/>
              <w:rPr>
                <w:rFonts w:asciiTheme="minorHAnsi" w:eastAsia="Arial Unicode MS" w:hAnsiTheme="minorHAnsi" w:cstheme="minorHAnsi"/>
                <w:b/>
                <w:sz w:val="22"/>
                <w:szCs w:val="22"/>
                <w:lang w:eastAsia="lt-LT"/>
              </w:rPr>
            </w:pPr>
            <w:r w:rsidRPr="00BF2940">
              <w:rPr>
                <w:rFonts w:asciiTheme="minorHAnsi" w:eastAsia="Arial Unicode MS" w:hAnsiTheme="minorHAnsi" w:cstheme="minorHAnsi"/>
                <w:b/>
                <w:sz w:val="22"/>
                <w:szCs w:val="22"/>
                <w:lang w:eastAsia="lt-LT"/>
              </w:rPr>
              <w:t>Pateikiama:</w:t>
            </w:r>
          </w:p>
          <w:p w14:paraId="756184CA" w14:textId="77777777"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sz w:val="22"/>
                <w:szCs w:val="22"/>
                <w:lang w:eastAsia="lt-LT"/>
              </w:rPr>
              <w:t>Sertifikavimo įstaigos arba energetikos įmonės išduotas energetikos darbuotojo kvalifikacijos atestatas, kuriame turi būti reikalaujami įrašai.</w:t>
            </w:r>
          </w:p>
          <w:p w14:paraId="39301F49" w14:textId="77777777" w:rsidR="00F964D1" w:rsidRPr="00BF2940" w:rsidRDefault="00F964D1" w:rsidP="00F964D1">
            <w:pPr>
              <w:spacing w:after="160" w:line="276" w:lineRule="auto"/>
              <w:jc w:val="both"/>
              <w:rPr>
                <w:rFonts w:asciiTheme="minorHAnsi" w:eastAsiaTheme="minorEastAsia" w:hAnsiTheme="minorHAnsi" w:cstheme="minorHAnsi"/>
                <w:i/>
                <w:sz w:val="22"/>
                <w:szCs w:val="22"/>
                <w:lang w:eastAsia="lt-LT"/>
              </w:rPr>
            </w:pPr>
            <w:r w:rsidRPr="00BF2940">
              <w:rPr>
                <w:rFonts w:asciiTheme="minorHAnsi" w:eastAsiaTheme="minorEastAsia" w:hAnsiTheme="minorHAnsi" w:cstheme="minorHAnsi"/>
                <w:i/>
                <w:sz w:val="22"/>
                <w:szCs w:val="22"/>
                <w:lang w:eastAsia="lt-LT"/>
              </w:rPr>
              <w:t xml:space="preserve">(Dokumentas: „Energetikos objektus, įrenginius statančių ir eksploatuojančių darbuotojų atestavimo tvarkos aprašas“, 1 priedas. Nuoroda: </w:t>
            </w:r>
          </w:p>
          <w:p w14:paraId="062D0E90" w14:textId="77777777" w:rsidR="00F964D1" w:rsidRPr="00BF2940" w:rsidRDefault="00F964D1" w:rsidP="00F964D1">
            <w:pPr>
              <w:spacing w:after="160" w:line="276" w:lineRule="auto"/>
              <w:jc w:val="both"/>
              <w:rPr>
                <w:rFonts w:asciiTheme="minorHAnsi" w:eastAsiaTheme="minorEastAsia" w:hAnsiTheme="minorHAnsi" w:cstheme="minorHAnsi"/>
                <w:i/>
                <w:sz w:val="22"/>
                <w:szCs w:val="22"/>
                <w:lang w:eastAsia="lt-LT"/>
              </w:rPr>
            </w:pPr>
            <w:hyperlink r:id="rId5" w:history="1">
              <w:r w:rsidRPr="00BF2940">
                <w:rPr>
                  <w:rFonts w:asciiTheme="minorHAnsi" w:eastAsiaTheme="minorEastAsia" w:hAnsiTheme="minorHAnsi" w:cstheme="minorHAnsi"/>
                  <w:i/>
                  <w:color w:val="0000FF"/>
                  <w:sz w:val="22"/>
                  <w:szCs w:val="22"/>
                  <w:u w:val="single"/>
                  <w:lang w:eastAsia="lt-LT"/>
                </w:rPr>
                <w:t>https://www.e-tar.lt/portal/lt/legalAct/TAR.9711F6DBC8C9/gfsiMnwKuk</w:t>
              </w:r>
            </w:hyperlink>
            <w:r w:rsidRPr="00BF2940">
              <w:rPr>
                <w:rFonts w:asciiTheme="minorHAnsi" w:eastAsiaTheme="minorEastAsia" w:hAnsiTheme="minorHAnsi" w:cstheme="minorHAnsi"/>
                <w:i/>
                <w:sz w:val="22"/>
                <w:szCs w:val="22"/>
                <w:lang w:eastAsia="lt-LT"/>
              </w:rPr>
              <w:t>)</w:t>
            </w:r>
          </w:p>
          <w:p w14:paraId="09945207" w14:textId="77777777" w:rsidR="00F964D1" w:rsidRPr="00BF2940" w:rsidRDefault="00F964D1" w:rsidP="00F964D1">
            <w:pPr>
              <w:widowControl w:val="0"/>
              <w:autoSpaceDE w:val="0"/>
              <w:autoSpaceDN w:val="0"/>
              <w:adjustRightInd w:val="0"/>
              <w:spacing w:after="160" w:line="276" w:lineRule="auto"/>
              <w:ind w:left="36"/>
              <w:jc w:val="both"/>
              <w:rPr>
                <w:rFonts w:asciiTheme="minorHAnsi" w:eastAsia="Arial Unicode MS" w:hAnsiTheme="minorHAnsi" w:cstheme="minorHAnsi"/>
                <w:sz w:val="22"/>
                <w:szCs w:val="22"/>
                <w:bdr w:val="nil"/>
                <w:lang w:eastAsia="lt-LT"/>
              </w:rPr>
            </w:pPr>
            <w:r w:rsidRPr="00BF2940">
              <w:rPr>
                <w:rFonts w:asciiTheme="minorHAnsi" w:eastAsiaTheme="minorEastAsia" w:hAnsiTheme="minorHAnsi" w:cstheme="minorHAnsi"/>
                <w:sz w:val="22"/>
                <w:szCs w:val="22"/>
                <w:lang w:eastAsia="lt-LT"/>
              </w:rPr>
              <w:t>Pateikti dokumento kopiją.</w:t>
            </w:r>
          </w:p>
        </w:tc>
        <w:tc>
          <w:tcPr>
            <w:tcW w:w="2835" w:type="dxa"/>
          </w:tcPr>
          <w:p w14:paraId="45AFA6CB" w14:textId="77777777" w:rsidR="00F964D1" w:rsidRPr="00BF2940" w:rsidRDefault="00F964D1" w:rsidP="00F964D1">
            <w:pPr>
              <w:contextualSpacing/>
              <w:jc w:val="both"/>
              <w:rPr>
                <w:rFonts w:asciiTheme="minorHAnsi" w:eastAsiaTheme="minorEastAsia" w:hAnsiTheme="minorHAnsi" w:cstheme="minorHAnsi"/>
                <w:color w:val="000000"/>
                <w:sz w:val="22"/>
                <w:szCs w:val="22"/>
              </w:rPr>
            </w:pPr>
            <w:r w:rsidRPr="00BF2940">
              <w:rPr>
                <w:rFonts w:asciiTheme="minorHAnsi" w:eastAsiaTheme="minorEastAsia" w:hAnsiTheme="minorHAnsi" w:cstheme="minorHAnsi"/>
                <w:color w:val="000000"/>
                <w:sz w:val="22"/>
                <w:szCs w:val="22"/>
              </w:rPr>
              <w:t>1) Jeigu pasiūlymą teikia ūkio subjektų grupė – reikalavimą turi atitikti ūkio subjektų grupės nario (-</w:t>
            </w:r>
            <w:proofErr w:type="spellStart"/>
            <w:r w:rsidRPr="00BF2940">
              <w:rPr>
                <w:rFonts w:asciiTheme="minorHAnsi" w:eastAsiaTheme="minorEastAsia" w:hAnsiTheme="minorHAnsi" w:cstheme="minorHAnsi"/>
                <w:color w:val="000000"/>
                <w:sz w:val="22"/>
                <w:szCs w:val="22"/>
              </w:rPr>
              <w:t>ių</w:t>
            </w:r>
            <w:proofErr w:type="spellEnd"/>
            <w:r w:rsidRPr="00BF2940">
              <w:rPr>
                <w:rFonts w:asciiTheme="minorHAnsi" w:eastAsiaTheme="minorEastAsia" w:hAnsiTheme="minorHAnsi" w:cstheme="minorHAnsi"/>
                <w:color w:val="000000"/>
                <w:sz w:val="22"/>
                <w:szCs w:val="22"/>
              </w:rPr>
              <w:t>) specialistai, atsižvelgiant į jų prisiimamus įsipareigojimus pirkimo sutarčiai vykdyti;</w:t>
            </w:r>
          </w:p>
          <w:p w14:paraId="7E9E9C20" w14:textId="77777777" w:rsidR="00F964D1" w:rsidRPr="00BF2940" w:rsidRDefault="00F964D1" w:rsidP="00F964D1">
            <w:pPr>
              <w:contextualSpacing/>
              <w:jc w:val="both"/>
              <w:rPr>
                <w:rFonts w:asciiTheme="minorHAnsi" w:eastAsiaTheme="minorEastAsia" w:hAnsiTheme="minorHAnsi" w:cstheme="minorHAnsi"/>
                <w:color w:val="000000"/>
                <w:sz w:val="22"/>
                <w:szCs w:val="22"/>
              </w:rPr>
            </w:pPr>
            <w:r w:rsidRPr="00BF2940">
              <w:rPr>
                <w:rFonts w:asciiTheme="minorHAnsi" w:eastAsiaTheme="minorEastAsia" w:hAnsiTheme="minorHAnsi" w:cstheme="minorHAnsi"/>
                <w:color w:val="000000"/>
                <w:sz w:val="22"/>
                <w:szCs w:val="22"/>
              </w:rPr>
              <w:t>2) tiekėjas gali remtis kitų ūkio subjektų pajėgumais tik tuo atveju, jeigu tie subjektai (jų darbuotojai) patys vykdys tą pirkimo sutarties dalį, kuriai reikia jų turimų pajėgumų;</w:t>
            </w:r>
          </w:p>
          <w:p w14:paraId="25D8646C" w14:textId="77777777" w:rsidR="00F964D1" w:rsidRPr="00BF2940" w:rsidRDefault="00F964D1" w:rsidP="00F964D1">
            <w:pPr>
              <w:contextualSpacing/>
              <w:jc w:val="both"/>
              <w:rPr>
                <w:rFonts w:asciiTheme="minorHAnsi" w:eastAsiaTheme="minorEastAsia" w:hAnsiTheme="minorHAnsi" w:cstheme="minorHAnsi"/>
                <w:color w:val="000000"/>
                <w:sz w:val="22"/>
                <w:szCs w:val="22"/>
              </w:rPr>
            </w:pPr>
            <w:r w:rsidRPr="00BF2940">
              <w:rPr>
                <w:rFonts w:asciiTheme="minorHAnsi" w:eastAsiaTheme="minorEastAsia" w:hAnsiTheme="minorHAnsi" w:cstheme="minorHAnsi"/>
                <w:color w:val="000000"/>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988882" w14:textId="77777777" w:rsidR="00F964D1" w:rsidRPr="00BF2940" w:rsidRDefault="00F964D1" w:rsidP="00F964D1">
            <w:pPr>
              <w:suppressAutoHyphens/>
              <w:spacing w:after="40" w:line="276" w:lineRule="auto"/>
              <w:rPr>
                <w:rFonts w:asciiTheme="minorHAnsi" w:eastAsia="Arial Unicode MS" w:hAnsiTheme="minorHAnsi" w:cstheme="minorHAnsi"/>
                <w:b/>
                <w:sz w:val="22"/>
                <w:szCs w:val="22"/>
                <w:lang w:eastAsia="lt-LT"/>
              </w:rPr>
            </w:pPr>
          </w:p>
        </w:tc>
      </w:tr>
      <w:tr w:rsidR="00F964D1" w:rsidRPr="00BF2940" w14:paraId="5DBEF63D" w14:textId="5B8CD69C" w:rsidTr="00BF2940">
        <w:trPr>
          <w:trHeight w:val="3417"/>
        </w:trPr>
        <w:tc>
          <w:tcPr>
            <w:tcW w:w="568" w:type="dxa"/>
          </w:tcPr>
          <w:p w14:paraId="2F1761A5" w14:textId="23B63E3A" w:rsidR="00F964D1" w:rsidRPr="00BF2940" w:rsidRDefault="00F964D1" w:rsidP="00F964D1">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BF2940">
              <w:rPr>
                <w:rFonts w:asciiTheme="minorHAnsi" w:eastAsia="Arial Unicode MS" w:hAnsiTheme="minorHAnsi" w:cstheme="minorHAnsi"/>
                <w:sz w:val="22"/>
                <w:szCs w:val="22"/>
                <w:bdr w:val="nil"/>
                <w:lang w:eastAsia="lt-LT"/>
              </w:rPr>
              <w:lastRenderedPageBreak/>
              <w:t>1.2.</w:t>
            </w:r>
          </w:p>
        </w:tc>
        <w:tc>
          <w:tcPr>
            <w:tcW w:w="3544" w:type="dxa"/>
          </w:tcPr>
          <w:p w14:paraId="2F09B0B6" w14:textId="77777777"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sz w:val="22"/>
                <w:szCs w:val="22"/>
                <w:lang w:eastAsia="lt-LT"/>
              </w:rPr>
              <w:t>Tiekėjas turi pasiūlyti bent 1 (vieną) specialistą - darbų vykdytoją, kuris turi teisę vykdyti darbus elektros įrenginiuose iki 1000 V:</w:t>
            </w:r>
          </w:p>
          <w:p w14:paraId="21CD11AF" w14:textId="77777777"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b/>
                <w:sz w:val="22"/>
                <w:szCs w:val="22"/>
                <w:lang w:eastAsia="lt-LT"/>
              </w:rPr>
              <w:t>Veiklos sritis</w:t>
            </w:r>
            <w:r w:rsidRPr="00BF2940">
              <w:rPr>
                <w:rFonts w:asciiTheme="minorHAnsi" w:eastAsiaTheme="minorEastAsia" w:hAnsiTheme="minorHAnsi" w:cstheme="minorHAnsi"/>
                <w:sz w:val="22"/>
                <w:szCs w:val="22"/>
                <w:lang w:eastAsia="lt-LT"/>
              </w:rPr>
              <w:t xml:space="preserve"> – Elektros įrenginių eksploatavimas; </w:t>
            </w:r>
          </w:p>
          <w:p w14:paraId="532C18B3" w14:textId="77777777" w:rsidR="00F964D1" w:rsidRPr="00BF2940" w:rsidRDefault="00F964D1" w:rsidP="00F964D1">
            <w:pPr>
              <w:spacing w:after="16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b/>
                <w:sz w:val="22"/>
                <w:szCs w:val="22"/>
                <w:lang w:eastAsia="lt-LT"/>
              </w:rPr>
              <w:t>Energetikos darbuotojų kategorija</w:t>
            </w:r>
            <w:r w:rsidRPr="00BF2940">
              <w:rPr>
                <w:rFonts w:asciiTheme="minorHAnsi" w:eastAsiaTheme="minorEastAsia" w:hAnsiTheme="minorHAnsi" w:cstheme="minorHAnsi"/>
                <w:sz w:val="22"/>
                <w:szCs w:val="22"/>
                <w:lang w:eastAsia="lt-LT"/>
              </w:rPr>
              <w:t xml:space="preserve"> – Elektrotechnikos darbuotojas</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VK vykdantis darbus elektros įrenginiuose</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 xml:space="preserve">iki 1000 V; </w:t>
            </w:r>
          </w:p>
          <w:p w14:paraId="5DBC78B9" w14:textId="25551EE2" w:rsidR="00F964D1" w:rsidRPr="00BF2940" w:rsidRDefault="00F964D1" w:rsidP="00F964D1">
            <w:pPr>
              <w:spacing w:after="160" w:line="276" w:lineRule="auto"/>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b/>
                <w:sz w:val="22"/>
                <w:szCs w:val="22"/>
                <w:lang w:eastAsia="lt-LT"/>
              </w:rPr>
              <w:t>Atestavimo sritis ir suteikiamos teisės</w:t>
            </w:r>
            <w:r w:rsidRPr="00BF2940">
              <w:rPr>
                <w:rFonts w:asciiTheme="minorHAnsi" w:eastAsiaTheme="minorEastAsia" w:hAnsiTheme="minorHAnsi" w:cstheme="minorHAnsi"/>
                <w:sz w:val="22"/>
                <w:szCs w:val="22"/>
                <w:lang w:eastAsia="lt-LT"/>
              </w:rPr>
              <w:t xml:space="preserve"> – Eksploatuoti (technologiškai valdyti, techniškai prižiūrėti, remontuoti, matuoti, bandyti, paleisti ir derinti) elektros įrenginius</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iki 1000 V. Suteikiamos teisės vykdyti darbų vykdytojo ar brigados nario</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VK funkcijas elektros įrenginiuose</w:t>
            </w:r>
            <w:r w:rsidRPr="00BF2940">
              <w:rPr>
                <w:rFonts w:asciiTheme="minorHAnsi" w:eastAsiaTheme="minorEastAsia" w:hAnsiTheme="minorHAnsi" w:cstheme="minorHAnsi"/>
                <w:sz w:val="22"/>
                <w:szCs w:val="22"/>
                <w:vertAlign w:val="superscript"/>
                <w:lang w:eastAsia="lt-LT"/>
              </w:rPr>
              <w:t xml:space="preserve"> </w:t>
            </w:r>
            <w:r w:rsidRPr="00BF2940">
              <w:rPr>
                <w:rFonts w:asciiTheme="minorHAnsi" w:eastAsiaTheme="minorEastAsia" w:hAnsiTheme="minorHAnsi" w:cstheme="minorHAnsi"/>
                <w:sz w:val="22"/>
                <w:szCs w:val="22"/>
                <w:lang w:eastAsia="lt-LT"/>
              </w:rPr>
              <w:t xml:space="preserve">iki 1000 V. </w:t>
            </w:r>
          </w:p>
        </w:tc>
        <w:tc>
          <w:tcPr>
            <w:tcW w:w="2977" w:type="dxa"/>
            <w:tcBorders>
              <w:top w:val="single" w:sz="4" w:space="0" w:color="auto"/>
              <w:left w:val="single" w:sz="4" w:space="0" w:color="auto"/>
              <w:bottom w:val="single" w:sz="4" w:space="0" w:color="auto"/>
              <w:right w:val="single" w:sz="4" w:space="0" w:color="auto"/>
            </w:tcBorders>
          </w:tcPr>
          <w:p w14:paraId="2270280D" w14:textId="77777777" w:rsidR="00F964D1" w:rsidRPr="00BF2940" w:rsidRDefault="00F964D1" w:rsidP="00F964D1">
            <w:pPr>
              <w:suppressAutoHyphens/>
              <w:spacing w:after="40" w:line="276" w:lineRule="auto"/>
              <w:rPr>
                <w:rFonts w:asciiTheme="minorHAnsi" w:eastAsia="Arial Unicode MS" w:hAnsiTheme="minorHAnsi" w:cstheme="minorHAnsi"/>
                <w:b/>
                <w:sz w:val="22"/>
                <w:szCs w:val="22"/>
                <w:lang w:eastAsia="lt-LT"/>
              </w:rPr>
            </w:pPr>
            <w:r w:rsidRPr="00BF2940">
              <w:rPr>
                <w:rFonts w:asciiTheme="minorHAnsi" w:eastAsia="Arial Unicode MS" w:hAnsiTheme="minorHAnsi" w:cstheme="minorHAnsi"/>
                <w:b/>
                <w:sz w:val="22"/>
                <w:szCs w:val="22"/>
                <w:lang w:eastAsia="lt-LT"/>
              </w:rPr>
              <w:t>Pateikiama:</w:t>
            </w:r>
          </w:p>
          <w:p w14:paraId="43BD4234" w14:textId="60F2039E" w:rsidR="00F964D1" w:rsidRPr="00BF2940" w:rsidRDefault="00F964D1" w:rsidP="00F964D1">
            <w:pPr>
              <w:suppressAutoHyphens/>
              <w:spacing w:after="40" w:line="276" w:lineRule="auto"/>
              <w:jc w:val="both"/>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sz w:val="22"/>
                <w:szCs w:val="22"/>
                <w:lang w:eastAsia="lt-LT"/>
              </w:rPr>
              <w:t>Sertifikavimo įstaigos arba energetikos įmonės išduotas energetikos darbuotojų kvalifikacijos atestatas.</w:t>
            </w:r>
          </w:p>
          <w:p w14:paraId="4EA1A9AB" w14:textId="77777777" w:rsidR="00F964D1" w:rsidRPr="00BF2940" w:rsidRDefault="00F964D1" w:rsidP="00F964D1">
            <w:pPr>
              <w:suppressAutoHyphens/>
              <w:spacing w:after="40" w:line="276" w:lineRule="auto"/>
              <w:rPr>
                <w:rFonts w:asciiTheme="minorHAnsi" w:eastAsia="Arial Unicode MS" w:hAnsiTheme="minorHAnsi" w:cstheme="minorHAnsi"/>
                <w:i/>
                <w:sz w:val="22"/>
                <w:szCs w:val="22"/>
                <w:lang w:eastAsia="lt-LT"/>
              </w:rPr>
            </w:pPr>
            <w:r w:rsidRPr="00BF2940">
              <w:rPr>
                <w:rFonts w:asciiTheme="minorHAnsi" w:eastAsia="Arial Unicode MS" w:hAnsiTheme="minorHAnsi" w:cstheme="minorHAnsi"/>
                <w:i/>
                <w:sz w:val="22"/>
                <w:szCs w:val="22"/>
                <w:lang w:eastAsia="lt-LT"/>
              </w:rPr>
              <w:t>(„Energetikos objektus, įrenginius statančių ir eksploatuojančių darbuotojų atestavimo tvarkos aprašas“, 1 priedas. Nuoroda:</w:t>
            </w:r>
            <w:r w:rsidRPr="00BF2940">
              <w:rPr>
                <w:rFonts w:asciiTheme="minorHAnsi" w:eastAsiaTheme="minorEastAsia" w:hAnsiTheme="minorHAnsi" w:cstheme="minorHAnsi"/>
                <w:i/>
                <w:sz w:val="22"/>
                <w:szCs w:val="22"/>
                <w:lang w:eastAsia="lt-LT"/>
              </w:rPr>
              <w:t xml:space="preserve"> </w:t>
            </w:r>
            <w:hyperlink r:id="rId6" w:history="1">
              <w:r w:rsidRPr="00BF2940">
                <w:rPr>
                  <w:rFonts w:asciiTheme="minorHAnsi" w:eastAsiaTheme="minorEastAsia" w:hAnsiTheme="minorHAnsi" w:cstheme="minorHAnsi"/>
                  <w:i/>
                  <w:color w:val="0000FF"/>
                  <w:sz w:val="22"/>
                  <w:szCs w:val="22"/>
                  <w:lang w:eastAsia="lt-LT"/>
                </w:rPr>
                <w:t>https://www.e-tar.lt/portal/lt/legalAct/TAR.9711F6DBC8C9/gfsiMnwKuk</w:t>
              </w:r>
            </w:hyperlink>
          </w:p>
          <w:p w14:paraId="2AF6EABA" w14:textId="77777777" w:rsidR="00F964D1" w:rsidRPr="00BF2940" w:rsidRDefault="00F964D1" w:rsidP="00F964D1">
            <w:pPr>
              <w:suppressAutoHyphens/>
              <w:spacing w:after="40" w:line="276" w:lineRule="auto"/>
              <w:rPr>
                <w:rFonts w:asciiTheme="minorHAnsi" w:eastAsia="Arial Unicode MS" w:hAnsiTheme="minorHAnsi" w:cstheme="minorHAnsi"/>
                <w:sz w:val="22"/>
                <w:szCs w:val="22"/>
                <w:lang w:eastAsia="lt-LT"/>
              </w:rPr>
            </w:pPr>
          </w:p>
          <w:p w14:paraId="5D97A0BC" w14:textId="77777777" w:rsidR="00F964D1" w:rsidRPr="00BF2940" w:rsidRDefault="00F964D1" w:rsidP="00F964D1">
            <w:pPr>
              <w:suppressAutoHyphens/>
              <w:spacing w:after="40" w:line="276" w:lineRule="auto"/>
              <w:rPr>
                <w:rFonts w:asciiTheme="minorHAnsi" w:eastAsia="Arial Unicode MS" w:hAnsiTheme="minorHAnsi" w:cstheme="minorHAnsi"/>
                <w:sz w:val="22"/>
                <w:szCs w:val="22"/>
                <w:lang w:eastAsia="lt-LT"/>
              </w:rPr>
            </w:pPr>
          </w:p>
          <w:p w14:paraId="1CFE2ADC" w14:textId="77777777" w:rsidR="00F964D1" w:rsidRPr="00BF2940" w:rsidRDefault="00F964D1" w:rsidP="00F964D1">
            <w:pPr>
              <w:spacing w:after="160" w:line="276" w:lineRule="auto"/>
              <w:rPr>
                <w:rFonts w:asciiTheme="minorHAnsi" w:eastAsiaTheme="minorEastAsia" w:hAnsiTheme="minorHAnsi" w:cstheme="minorHAnsi"/>
                <w:sz w:val="22"/>
                <w:szCs w:val="22"/>
                <w:lang w:eastAsia="lt-LT"/>
              </w:rPr>
            </w:pPr>
            <w:r w:rsidRPr="00BF2940">
              <w:rPr>
                <w:rFonts w:asciiTheme="minorHAnsi" w:eastAsiaTheme="minorEastAsia" w:hAnsiTheme="minorHAnsi" w:cstheme="minorHAnsi"/>
                <w:sz w:val="22"/>
                <w:szCs w:val="22"/>
                <w:lang w:eastAsia="lt-LT"/>
              </w:rPr>
              <w:t>Pateikti dokumento kopiją.</w:t>
            </w:r>
          </w:p>
        </w:tc>
        <w:tc>
          <w:tcPr>
            <w:tcW w:w="2835" w:type="dxa"/>
          </w:tcPr>
          <w:p w14:paraId="4511FAAF" w14:textId="77777777" w:rsidR="00F964D1" w:rsidRPr="00BF2940" w:rsidRDefault="00F964D1" w:rsidP="00F964D1">
            <w:pPr>
              <w:suppressAutoHyphens/>
              <w:spacing w:after="40" w:line="276" w:lineRule="auto"/>
              <w:rPr>
                <w:rFonts w:asciiTheme="minorHAnsi" w:eastAsia="Arial Unicode MS" w:hAnsiTheme="minorHAnsi" w:cstheme="minorHAnsi"/>
                <w:b/>
                <w:sz w:val="22"/>
                <w:szCs w:val="22"/>
                <w:lang w:eastAsia="lt-LT"/>
              </w:rPr>
            </w:pPr>
          </w:p>
        </w:tc>
      </w:tr>
    </w:tbl>
    <w:p w14:paraId="21E5504B" w14:textId="77777777" w:rsidR="00CF7232" w:rsidRPr="00BF2940" w:rsidRDefault="00CF7232" w:rsidP="00CF7232">
      <w:pPr>
        <w:shd w:val="clear" w:color="auto" w:fill="FFFFFF" w:themeFill="background1"/>
        <w:suppressAutoHyphens/>
        <w:spacing w:before="120" w:after="40"/>
        <w:jc w:val="both"/>
        <w:rPr>
          <w:rFonts w:asciiTheme="minorHAnsi" w:eastAsia="Arial Unicode MS" w:hAnsiTheme="minorHAnsi" w:cstheme="minorHAnsi"/>
          <w:i/>
          <w:color w:val="000000"/>
          <w:sz w:val="22"/>
          <w:szCs w:val="22"/>
          <w:bdr w:val="none" w:sz="0" w:space="0" w:color="auto" w:frame="1"/>
          <w:lang w:eastAsia="lt-LT"/>
        </w:rPr>
      </w:pPr>
      <w:r w:rsidRPr="00BF2940">
        <w:rPr>
          <w:rFonts w:asciiTheme="minorHAnsi" w:eastAsia="Arial Unicode MS" w:hAnsiTheme="minorHAnsi" w:cstheme="minorHAnsi"/>
          <w:i/>
          <w:color w:val="000000"/>
          <w:sz w:val="22"/>
          <w:szCs w:val="22"/>
          <w:bdr w:val="none" w:sz="0" w:space="0" w:color="auto" w:frame="1"/>
          <w:lang w:eastAsia="lt-LT"/>
        </w:rPr>
        <w:t>Pastaba:</w:t>
      </w:r>
    </w:p>
    <w:p w14:paraId="75462117" w14:textId="77777777" w:rsidR="00CF7232" w:rsidRPr="00BF2940" w:rsidRDefault="00CF7232" w:rsidP="00CF7232">
      <w:pPr>
        <w:shd w:val="clear" w:color="auto" w:fill="FFFFFF" w:themeFill="background1"/>
        <w:suppressAutoHyphens/>
        <w:spacing w:after="40"/>
        <w:jc w:val="both"/>
        <w:rPr>
          <w:rFonts w:asciiTheme="minorHAnsi" w:eastAsia="Arial Unicode MS" w:hAnsiTheme="minorHAnsi" w:cstheme="minorHAnsi"/>
          <w:i/>
          <w:color w:val="000000"/>
          <w:sz w:val="22"/>
          <w:szCs w:val="22"/>
          <w:bdr w:val="none" w:sz="0" w:space="0" w:color="auto" w:frame="1"/>
          <w:lang w:eastAsia="lt-LT"/>
        </w:rPr>
      </w:pPr>
      <w:r w:rsidRPr="00BF2940">
        <w:rPr>
          <w:rFonts w:asciiTheme="minorHAnsi" w:eastAsia="Arial Unicode MS" w:hAnsiTheme="minorHAnsi" w:cstheme="minorHAnsi"/>
          <w:i/>
          <w:color w:val="000000"/>
          <w:sz w:val="22"/>
          <w:szCs w:val="22"/>
          <w:bdr w:val="none" w:sz="0" w:space="0" w:color="auto" w:frame="1"/>
          <w:lang w:eastAsia="lt-LT"/>
        </w:rPr>
        <w:t xml:space="preserve">1. Tiekėjas kiekvienam kvalifikacijos reikalavimui (nurodytam 1.1. ir 1.2. punktuose) atitikti, turi nurodyti skirtingus specialistus, </w:t>
      </w:r>
      <w:proofErr w:type="spellStart"/>
      <w:r w:rsidRPr="00BF2940">
        <w:rPr>
          <w:rFonts w:asciiTheme="minorHAnsi" w:eastAsia="Arial Unicode MS" w:hAnsiTheme="minorHAnsi" w:cstheme="minorHAnsi"/>
          <w:i/>
          <w:color w:val="000000"/>
          <w:sz w:val="22"/>
          <w:szCs w:val="22"/>
          <w:bdr w:val="none" w:sz="0" w:space="0" w:color="auto" w:frame="1"/>
          <w:lang w:eastAsia="lt-LT"/>
        </w:rPr>
        <w:t>t.y</w:t>
      </w:r>
      <w:proofErr w:type="spellEnd"/>
      <w:r w:rsidRPr="00BF2940">
        <w:rPr>
          <w:rFonts w:asciiTheme="minorHAnsi" w:eastAsia="Arial Unicode MS" w:hAnsiTheme="minorHAnsi" w:cstheme="minorHAnsi"/>
          <w:i/>
          <w:color w:val="000000"/>
          <w:sz w:val="22"/>
          <w:szCs w:val="22"/>
          <w:bdr w:val="none" w:sz="0" w:space="0" w:color="auto" w:frame="1"/>
          <w:lang w:eastAsia="lt-LT"/>
        </w:rPr>
        <w:t xml:space="preserve">. negali siūlyti to paties asmens. </w:t>
      </w:r>
    </w:p>
    <w:p w14:paraId="57900F0F" w14:textId="77777777" w:rsidR="00553395" w:rsidRPr="00BF2940" w:rsidRDefault="00553395" w:rsidP="00553395">
      <w:pPr>
        <w:jc w:val="both"/>
        <w:rPr>
          <w:rFonts w:asciiTheme="minorHAnsi" w:eastAsiaTheme="minorHAnsi" w:hAnsiTheme="minorHAnsi" w:cstheme="minorHAnsi"/>
          <w:sz w:val="22"/>
          <w:szCs w:val="22"/>
        </w:rPr>
      </w:pPr>
    </w:p>
    <w:p w14:paraId="4C9E8685" w14:textId="77777777" w:rsidR="009D4048" w:rsidRPr="00BF2940" w:rsidRDefault="009D4048" w:rsidP="00553395">
      <w:pPr>
        <w:jc w:val="both"/>
        <w:rPr>
          <w:rFonts w:asciiTheme="minorHAnsi" w:eastAsiaTheme="minorHAnsi" w:hAnsiTheme="minorHAnsi" w:cstheme="minorHAnsi"/>
          <w:sz w:val="22"/>
          <w:szCs w:val="22"/>
        </w:rPr>
      </w:pPr>
    </w:p>
    <w:p w14:paraId="351FD455" w14:textId="2AA7A06F" w:rsidR="00BF2940" w:rsidRPr="00190285" w:rsidRDefault="00BF2940" w:rsidP="00190285">
      <w:pPr>
        <w:pStyle w:val="Sraopastraipa"/>
        <w:numPr>
          <w:ilvl w:val="0"/>
          <w:numId w:val="1"/>
        </w:numPr>
        <w:spacing w:after="160" w:line="276" w:lineRule="auto"/>
        <w:ind w:left="0" w:firstLine="360"/>
        <w:jc w:val="both"/>
        <w:rPr>
          <w:rFonts w:asciiTheme="minorHAnsi" w:eastAsiaTheme="minorHAnsi" w:hAnsiTheme="minorHAnsi" w:cstheme="minorHAnsi"/>
          <w:sz w:val="22"/>
          <w:szCs w:val="22"/>
        </w:rPr>
      </w:pPr>
      <w:r w:rsidRPr="00190285">
        <w:rPr>
          <w:rFonts w:asciiTheme="minorHAnsi" w:eastAsiaTheme="minorHAnsi" w:hAnsiTheme="minorHAnsi" w:cstheme="minorHAnsi"/>
          <w:sz w:val="22"/>
          <w:szCs w:val="22"/>
        </w:rPr>
        <w:t xml:space="preserve">Aplinkos apsaugos vadybos priemonės. Atitiktį reikalavimui įrodančius dokumentus bus prašoma pateikti tik iš galimo laimėtojo. </w:t>
      </w:r>
    </w:p>
    <w:tbl>
      <w:tblPr>
        <w:tblW w:w="9923" w:type="dxa"/>
        <w:tblInd w:w="-5"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1" w:type="dxa"/>
          <w:right w:w="81" w:type="dxa"/>
        </w:tblCellMar>
        <w:tblLook w:val="04A0" w:firstRow="1" w:lastRow="0" w:firstColumn="1" w:lastColumn="0" w:noHBand="0" w:noVBand="1"/>
      </w:tblPr>
      <w:tblGrid>
        <w:gridCol w:w="567"/>
        <w:gridCol w:w="3544"/>
        <w:gridCol w:w="2977"/>
        <w:gridCol w:w="2835"/>
      </w:tblGrid>
      <w:tr w:rsidR="00190285" w:rsidRPr="00BF2940" w14:paraId="2626D836" w14:textId="6E86211E" w:rsidTr="002A5EE1">
        <w:trPr>
          <w:trHeight w:val="493"/>
        </w:trPr>
        <w:tc>
          <w:tcPr>
            <w:tcW w:w="56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C5AA5F2" w14:textId="77777777" w:rsidR="00190285" w:rsidRPr="00BF2940" w:rsidRDefault="00190285" w:rsidP="00190285">
            <w:pPr>
              <w:pBdr>
                <w:top w:val="nil"/>
                <w:left w:val="nil"/>
                <w:bottom w:val="nil"/>
                <w:right w:val="nil"/>
                <w:between w:val="nil"/>
                <w:bar w:val="nil"/>
              </w:pBdr>
              <w:suppressAutoHyphens/>
              <w:spacing w:after="40"/>
              <w:jc w:val="both"/>
              <w:rPr>
                <w:rFonts w:asciiTheme="minorHAnsi" w:hAnsiTheme="minorHAnsi" w:cstheme="minorHAnsi"/>
                <w:b/>
                <w:sz w:val="22"/>
                <w:szCs w:val="22"/>
              </w:rPr>
            </w:pPr>
            <w:r w:rsidRPr="00BF2940">
              <w:rPr>
                <w:rFonts w:asciiTheme="minorHAnsi" w:eastAsiaTheme="minorHAnsi" w:hAnsiTheme="minorHAnsi" w:cstheme="minorHAnsi"/>
                <w:b/>
                <w:bCs/>
                <w:sz w:val="22"/>
                <w:szCs w:val="22"/>
                <w:lang w:eastAsia="lt-LT"/>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C9CE3D3" w14:textId="77777777" w:rsidR="00190285" w:rsidRPr="00BF2940" w:rsidRDefault="00190285" w:rsidP="00190285">
            <w:pPr>
              <w:pBdr>
                <w:top w:val="nil"/>
                <w:left w:val="nil"/>
                <w:bottom w:val="nil"/>
                <w:right w:val="nil"/>
                <w:between w:val="nil"/>
                <w:bar w:val="nil"/>
              </w:pBdr>
              <w:suppressAutoHyphens/>
              <w:spacing w:after="40"/>
              <w:jc w:val="both"/>
              <w:rPr>
                <w:rFonts w:asciiTheme="minorHAnsi" w:hAnsiTheme="minorHAnsi" w:cstheme="minorHAnsi"/>
                <w:b/>
                <w:sz w:val="22"/>
                <w:szCs w:val="22"/>
              </w:rPr>
            </w:pPr>
            <w:r w:rsidRPr="00BF2940">
              <w:rPr>
                <w:rFonts w:asciiTheme="minorHAnsi" w:eastAsiaTheme="minorEastAsia" w:hAnsiTheme="minorHAnsi" w:cstheme="minorHAnsi"/>
                <w:b/>
                <w:bCs/>
                <w:color w:val="000000"/>
                <w:sz w:val="22"/>
                <w:szCs w:val="22"/>
                <w:lang w:eastAsia="lt-LT"/>
              </w:rPr>
              <w:t>Reikalavimas</w:t>
            </w:r>
          </w:p>
        </w:tc>
        <w:tc>
          <w:tcPr>
            <w:tcW w:w="297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9DCC963" w14:textId="77777777" w:rsidR="00190285" w:rsidRPr="00BF2940" w:rsidRDefault="00190285" w:rsidP="00190285">
            <w:pPr>
              <w:pBdr>
                <w:top w:val="nil"/>
                <w:left w:val="nil"/>
                <w:bottom w:val="nil"/>
                <w:right w:val="nil"/>
                <w:between w:val="nil"/>
                <w:bar w:val="nil"/>
              </w:pBdr>
              <w:suppressAutoHyphens/>
              <w:spacing w:after="40"/>
              <w:jc w:val="both"/>
              <w:rPr>
                <w:rFonts w:asciiTheme="minorHAnsi" w:hAnsiTheme="minorHAnsi" w:cstheme="minorHAnsi"/>
                <w:b/>
                <w:sz w:val="22"/>
                <w:szCs w:val="22"/>
              </w:rPr>
            </w:pPr>
            <w:r w:rsidRPr="00BF2940">
              <w:rPr>
                <w:rFonts w:asciiTheme="minorHAnsi" w:eastAsiaTheme="minorEastAsia" w:hAnsiTheme="minorHAnsi" w:cstheme="minorHAnsi"/>
                <w:b/>
                <w:bCs/>
                <w:color w:val="000000"/>
                <w:sz w:val="22"/>
                <w:szCs w:val="22"/>
                <w:lang w:eastAsia="lt-LT"/>
              </w:rPr>
              <w:t>Atitiktį reikalavimui įrodantys dokumentai</w:t>
            </w:r>
          </w:p>
        </w:tc>
        <w:tc>
          <w:tcPr>
            <w:tcW w:w="2835" w:type="dxa"/>
            <w:shd w:val="clear" w:color="auto" w:fill="DAEEF3" w:themeFill="accent5" w:themeFillTint="33"/>
            <w:vAlign w:val="center"/>
          </w:tcPr>
          <w:p w14:paraId="2AB16506" w14:textId="5A94B6B6" w:rsidR="00190285" w:rsidRPr="00BF2940" w:rsidRDefault="003944CB" w:rsidP="00190285">
            <w:pPr>
              <w:pBdr>
                <w:top w:val="nil"/>
                <w:left w:val="nil"/>
                <w:bottom w:val="nil"/>
                <w:right w:val="nil"/>
                <w:between w:val="nil"/>
                <w:bar w:val="nil"/>
              </w:pBdr>
              <w:suppressAutoHyphens/>
              <w:spacing w:after="40"/>
              <w:jc w:val="both"/>
              <w:rPr>
                <w:rFonts w:asciiTheme="minorHAnsi" w:eastAsiaTheme="minorEastAsia" w:hAnsiTheme="minorHAnsi" w:cstheme="minorHAnsi"/>
                <w:b/>
                <w:bCs/>
                <w:color w:val="000000"/>
                <w:sz w:val="22"/>
                <w:szCs w:val="22"/>
                <w:lang w:eastAsia="lt-LT"/>
              </w:rPr>
            </w:pPr>
            <w:r w:rsidRPr="003944CB">
              <w:rPr>
                <w:rFonts w:asciiTheme="minorHAnsi" w:eastAsiaTheme="minorEastAsia" w:hAnsiTheme="minorHAnsi" w:cstheme="minorHAnsi"/>
                <w:b/>
                <w:bCs/>
                <w:color w:val="000000"/>
                <w:sz w:val="22"/>
                <w:szCs w:val="22"/>
                <w:lang w:eastAsia="lt-LT"/>
              </w:rPr>
              <w:t>Subjektas, kuris turi atitikti reikalavimą</w:t>
            </w:r>
          </w:p>
        </w:tc>
      </w:tr>
      <w:tr w:rsidR="002A5EE1" w:rsidRPr="00BF2940" w14:paraId="59E19E8C" w14:textId="4C7CE3B2" w:rsidTr="002A5EE1">
        <w:trPr>
          <w:trHeight w:val="699"/>
        </w:trPr>
        <w:tc>
          <w:tcPr>
            <w:tcW w:w="567" w:type="dxa"/>
          </w:tcPr>
          <w:p w14:paraId="3B414770" w14:textId="77777777" w:rsidR="002A5EE1" w:rsidRPr="00BF2940" w:rsidRDefault="002A5EE1" w:rsidP="00190285">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BF2940">
              <w:rPr>
                <w:rFonts w:asciiTheme="minorHAnsi" w:eastAsia="Arial Unicode MS" w:hAnsiTheme="minorHAnsi" w:cstheme="minorHAnsi"/>
                <w:sz w:val="22"/>
                <w:szCs w:val="22"/>
                <w:bdr w:val="nil"/>
                <w:lang w:eastAsia="lt-LT"/>
              </w:rPr>
              <w:t>1.</w:t>
            </w:r>
          </w:p>
        </w:tc>
        <w:tc>
          <w:tcPr>
            <w:tcW w:w="3544" w:type="dxa"/>
            <w:tcBorders>
              <w:top w:val="single" w:sz="2" w:space="0" w:color="auto"/>
              <w:left w:val="single" w:sz="2" w:space="0" w:color="auto"/>
              <w:bottom w:val="single" w:sz="2" w:space="0" w:color="auto"/>
              <w:right w:val="single" w:sz="2" w:space="0" w:color="auto"/>
            </w:tcBorders>
          </w:tcPr>
          <w:p w14:paraId="08D9AB55"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r w:rsidRPr="00BF2940">
              <w:rPr>
                <w:rFonts w:asciiTheme="minorHAnsi" w:eastAsiaTheme="minorEastAsia" w:hAnsiTheme="minorHAnsi" w:cstheme="minorHAnsi"/>
                <w:color w:val="000000"/>
                <w:sz w:val="22"/>
                <w:szCs w:val="22"/>
                <w:lang w:eastAsia="lt-LT"/>
              </w:rPr>
              <w:t>Tiekėjas turi laikytis:</w:t>
            </w:r>
          </w:p>
          <w:p w14:paraId="218E8EE8"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r w:rsidRPr="00BF2940">
              <w:rPr>
                <w:rFonts w:asciiTheme="minorHAnsi" w:eastAsiaTheme="minorEastAsia" w:hAnsiTheme="minorHAnsi" w:cstheme="minorHAnsi"/>
                <w:color w:val="000000"/>
                <w:sz w:val="22"/>
                <w:szCs w:val="22"/>
                <w:lang w:eastAsia="lt-LT"/>
              </w:rPr>
              <w:t>Kokybės vadybos sistemos LST EN ISO 9001 standarto arba kitų lygiaverčių kokybės vadybos užtikrinimo priemonių reikalavimų;</w:t>
            </w:r>
          </w:p>
          <w:p w14:paraId="750D2881"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p>
          <w:p w14:paraId="26F076D5" w14:textId="14D7CEFB" w:rsidR="002A5EE1" w:rsidRPr="002A5EE1" w:rsidRDefault="002A5EE1" w:rsidP="00190285">
            <w:pPr>
              <w:spacing w:after="160" w:line="276" w:lineRule="auto"/>
              <w:jc w:val="both"/>
              <w:rPr>
                <w:rFonts w:asciiTheme="minorHAnsi" w:eastAsiaTheme="minorEastAsia" w:hAnsiTheme="minorHAnsi" w:cstheme="minorHAnsi"/>
                <w:i/>
                <w:iCs/>
                <w:sz w:val="22"/>
                <w:szCs w:val="22"/>
                <w:lang w:eastAsia="lt-LT"/>
              </w:rPr>
            </w:pPr>
            <w:r w:rsidRPr="002A5EE1">
              <w:rPr>
                <w:rFonts w:asciiTheme="minorHAnsi" w:eastAsiaTheme="minorEastAsia" w:hAnsiTheme="minorHAnsi" w:cstheme="minorHAnsi"/>
                <w:i/>
                <w:iCs/>
                <w:color w:val="000000"/>
                <w:sz w:val="22"/>
                <w:szCs w:val="22"/>
                <w:lang w:eastAsia="lt-LT"/>
              </w:rPr>
              <w:t xml:space="preserve">Pažymėtina, kad informacija apie sertifikavimo pradžią nėra laikoma tinkama, tiekėjas turi atitiktį šį reikalavimą pasiūlymų pateikimo dienai, t. y. pasiūlymų pateikimo dieną </w:t>
            </w:r>
            <w:r w:rsidRPr="002A5EE1">
              <w:rPr>
                <w:rFonts w:asciiTheme="minorHAnsi" w:eastAsiaTheme="minorEastAsia" w:hAnsiTheme="minorHAnsi" w:cstheme="minorHAnsi"/>
                <w:i/>
                <w:iCs/>
                <w:color w:val="000000"/>
                <w:sz w:val="22"/>
                <w:szCs w:val="22"/>
                <w:lang w:eastAsia="lt-LT"/>
              </w:rPr>
              <w:lastRenderedPageBreak/>
              <w:t>turėti sertifikatą (-us) patvirtinantį(-čius) atitikimą reikalavimui.</w:t>
            </w:r>
          </w:p>
        </w:tc>
        <w:tc>
          <w:tcPr>
            <w:tcW w:w="2977" w:type="dxa"/>
            <w:tcBorders>
              <w:top w:val="single" w:sz="2" w:space="0" w:color="auto"/>
              <w:left w:val="single" w:sz="2" w:space="0" w:color="auto"/>
              <w:bottom w:val="single" w:sz="2" w:space="0" w:color="auto"/>
              <w:right w:val="single" w:sz="2" w:space="0" w:color="auto"/>
            </w:tcBorders>
          </w:tcPr>
          <w:p w14:paraId="362C3F3D"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r w:rsidRPr="00BF2940">
              <w:rPr>
                <w:rFonts w:asciiTheme="minorHAnsi" w:eastAsiaTheme="minorEastAsia" w:hAnsiTheme="minorHAnsi" w:cstheme="minorHAnsi"/>
                <w:b/>
                <w:color w:val="000000"/>
                <w:sz w:val="22"/>
                <w:szCs w:val="22"/>
                <w:lang w:eastAsia="lt-LT"/>
              </w:rPr>
              <w:lastRenderedPageBreak/>
              <w:t>Pateikiama:</w:t>
            </w:r>
            <w:r w:rsidRPr="00BF2940">
              <w:rPr>
                <w:rFonts w:asciiTheme="minorHAnsi" w:eastAsiaTheme="minorEastAsia" w:hAnsiTheme="minorHAnsi" w:cstheme="minorHAnsi"/>
                <w:color w:val="000000"/>
                <w:sz w:val="22"/>
                <w:szCs w:val="22"/>
                <w:lang w:eastAsia="lt-LT"/>
              </w:rPr>
              <w:t xml:space="preserve"> </w:t>
            </w:r>
          </w:p>
          <w:p w14:paraId="5A82C8A5"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r w:rsidRPr="00BF2940">
              <w:rPr>
                <w:rFonts w:asciiTheme="minorHAnsi" w:eastAsiaTheme="minorEastAsia" w:hAnsiTheme="minorHAnsi" w:cstheme="minorHAnsi"/>
                <w:color w:val="000000"/>
                <w:sz w:val="22"/>
                <w:szCs w:val="22"/>
                <w:lang w:eastAsia="lt-LT"/>
              </w:rPr>
              <w:t>Nepriklausomos akredituotos sertifikavimo įstaigos išduoto galiojančio kokybės vadybos sistemos LST EN ISO 9001 standarto sertifikato kopija, patvirtinančia, jog įmonės kokybės vadybos sistema atitinka pripažintus kokybės vadybos standartų reikalavimus arba kitus lygiaverčių kokybės vadybos užtikrinimo priemonių įrodymus.</w:t>
            </w:r>
          </w:p>
          <w:p w14:paraId="3F87DACC" w14:textId="77777777" w:rsidR="002A5EE1" w:rsidRPr="00BF2940" w:rsidRDefault="002A5EE1" w:rsidP="00190285">
            <w:pPr>
              <w:widowControl w:val="0"/>
              <w:autoSpaceDE w:val="0"/>
              <w:autoSpaceDN w:val="0"/>
              <w:adjustRightInd w:val="0"/>
              <w:spacing w:after="160" w:line="276" w:lineRule="auto"/>
              <w:ind w:left="36"/>
              <w:jc w:val="both"/>
              <w:rPr>
                <w:rFonts w:asciiTheme="minorHAnsi" w:eastAsia="Arial Unicode MS" w:hAnsiTheme="minorHAnsi" w:cstheme="minorHAnsi"/>
                <w:sz w:val="22"/>
                <w:szCs w:val="22"/>
                <w:bdr w:val="nil"/>
                <w:lang w:eastAsia="lt-LT"/>
              </w:rPr>
            </w:pPr>
          </w:p>
        </w:tc>
        <w:tc>
          <w:tcPr>
            <w:tcW w:w="2835" w:type="dxa"/>
            <w:vMerge w:val="restart"/>
          </w:tcPr>
          <w:p w14:paraId="6E380837" w14:textId="14B44422" w:rsidR="002A5EE1" w:rsidRPr="003944CB" w:rsidRDefault="002A5EE1" w:rsidP="00190285">
            <w:pPr>
              <w:suppressAutoHyphens/>
              <w:spacing w:after="40" w:line="276" w:lineRule="auto"/>
              <w:jc w:val="both"/>
              <w:rPr>
                <w:rFonts w:asciiTheme="minorHAnsi" w:eastAsiaTheme="minorEastAsia" w:hAnsiTheme="minorHAnsi" w:cstheme="minorHAnsi"/>
                <w:bCs/>
                <w:color w:val="000000"/>
                <w:sz w:val="22"/>
                <w:szCs w:val="22"/>
                <w:lang w:eastAsia="lt-LT"/>
              </w:rPr>
            </w:pPr>
            <w:r w:rsidRPr="003944CB">
              <w:rPr>
                <w:rFonts w:asciiTheme="minorHAnsi" w:eastAsiaTheme="minorEastAsia" w:hAnsiTheme="minorHAnsi" w:cstheme="minorHAnsi"/>
                <w:bCs/>
                <w:color w:val="000000"/>
                <w:sz w:val="22"/>
                <w:szCs w:val="22"/>
                <w:lang w:eastAsia="lt-LT"/>
              </w:rPr>
              <w:lastRenderedPageBreak/>
              <w:t>1) 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r w:rsidR="002A5EE1" w:rsidRPr="00BF2940" w14:paraId="37593A21" w14:textId="1048A410" w:rsidTr="002A5EE1">
        <w:trPr>
          <w:trHeight w:val="2377"/>
        </w:trPr>
        <w:tc>
          <w:tcPr>
            <w:tcW w:w="567" w:type="dxa"/>
          </w:tcPr>
          <w:p w14:paraId="53A44C1A" w14:textId="74B918BE" w:rsidR="002A5EE1" w:rsidRPr="00BF2940" w:rsidRDefault="002A5EE1" w:rsidP="00190285">
            <w:pPr>
              <w:pBdr>
                <w:top w:val="nil"/>
                <w:left w:val="nil"/>
                <w:bottom w:val="nil"/>
                <w:right w:val="nil"/>
                <w:between w:val="nil"/>
                <w:bar w:val="nil"/>
              </w:pBdr>
              <w:suppressAutoHyphens/>
              <w:spacing w:after="40"/>
              <w:jc w:val="center"/>
              <w:rPr>
                <w:rFonts w:asciiTheme="minorHAnsi" w:eastAsia="Arial Unicode MS" w:hAnsiTheme="minorHAnsi" w:cstheme="minorHAnsi"/>
                <w:sz w:val="22"/>
                <w:szCs w:val="22"/>
                <w:bdr w:val="nil"/>
                <w:lang w:eastAsia="lt-LT"/>
              </w:rPr>
            </w:pPr>
            <w:r w:rsidRPr="00BF2940">
              <w:rPr>
                <w:rFonts w:asciiTheme="minorHAnsi" w:eastAsia="Arial Unicode MS" w:hAnsiTheme="minorHAnsi" w:cstheme="minorHAnsi"/>
                <w:sz w:val="22"/>
                <w:szCs w:val="22"/>
                <w:bdr w:val="nil"/>
                <w:lang w:eastAsia="lt-LT"/>
              </w:rPr>
              <w:t>2.</w:t>
            </w:r>
          </w:p>
        </w:tc>
        <w:tc>
          <w:tcPr>
            <w:tcW w:w="3544" w:type="dxa"/>
            <w:tcBorders>
              <w:top w:val="single" w:sz="2" w:space="0" w:color="auto"/>
              <w:left w:val="single" w:sz="2" w:space="0" w:color="auto"/>
              <w:bottom w:val="single" w:sz="2" w:space="0" w:color="auto"/>
              <w:right w:val="single" w:sz="2" w:space="0" w:color="auto"/>
            </w:tcBorders>
          </w:tcPr>
          <w:p w14:paraId="665858B3"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r w:rsidRPr="00BF2940">
              <w:rPr>
                <w:rFonts w:asciiTheme="minorHAnsi" w:eastAsiaTheme="minorEastAsia" w:hAnsiTheme="minorHAnsi" w:cstheme="minorHAnsi"/>
                <w:color w:val="000000"/>
                <w:sz w:val="22"/>
                <w:szCs w:val="22"/>
                <w:lang w:eastAsia="lt-LT"/>
              </w:rPr>
              <w:t>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664FC768"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p>
          <w:p w14:paraId="61085896" w14:textId="1DA1CEB4"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r w:rsidRPr="00BF2940">
              <w:rPr>
                <w:rFonts w:asciiTheme="minorHAnsi" w:eastAsiaTheme="minorEastAsia" w:hAnsiTheme="minorHAnsi" w:cstheme="minorHAnsi"/>
                <w:i/>
                <w:color w:val="000000"/>
                <w:sz w:val="22"/>
                <w:szCs w:val="22"/>
                <w:lang w:eastAsia="lt-LT"/>
              </w:rPr>
              <w:t>Pažymėtina, kad informacija apie sertifikavimo pradžią nėra laikoma tinkama, tiekėjas turi atitiktį šį reikalavimą pasiūlymų pateikimo dienai, t. y. pasiūlymų pateikimo dieną turėti sertifikatą (-us) patvirtinantį(-čius) atitikimą reikalavimui.</w:t>
            </w:r>
          </w:p>
        </w:tc>
        <w:tc>
          <w:tcPr>
            <w:tcW w:w="2977" w:type="dxa"/>
            <w:tcBorders>
              <w:top w:val="single" w:sz="2" w:space="0" w:color="auto"/>
              <w:left w:val="single" w:sz="2" w:space="0" w:color="auto"/>
              <w:bottom w:val="single" w:sz="2" w:space="0" w:color="auto"/>
              <w:right w:val="single" w:sz="2" w:space="0" w:color="auto"/>
            </w:tcBorders>
          </w:tcPr>
          <w:p w14:paraId="49EF5169"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r w:rsidRPr="00BF2940">
              <w:rPr>
                <w:rFonts w:asciiTheme="minorHAnsi" w:eastAsiaTheme="minorEastAsia" w:hAnsiTheme="minorHAnsi" w:cstheme="minorHAnsi"/>
                <w:color w:val="000000"/>
                <w:sz w:val="22"/>
                <w:szCs w:val="22"/>
                <w:lang w:eastAsia="lt-LT"/>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183B55DA" w14:textId="0E768AD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p>
        </w:tc>
        <w:tc>
          <w:tcPr>
            <w:tcW w:w="2835" w:type="dxa"/>
            <w:vMerge/>
          </w:tcPr>
          <w:p w14:paraId="4DCAC39E" w14:textId="77777777" w:rsidR="002A5EE1" w:rsidRPr="00BF2940" w:rsidRDefault="002A5EE1" w:rsidP="00190285">
            <w:pPr>
              <w:suppressAutoHyphens/>
              <w:spacing w:after="40" w:line="276" w:lineRule="auto"/>
              <w:jc w:val="both"/>
              <w:rPr>
                <w:rFonts w:asciiTheme="minorHAnsi" w:eastAsiaTheme="minorEastAsia" w:hAnsiTheme="minorHAnsi" w:cstheme="minorHAnsi"/>
                <w:color w:val="000000"/>
                <w:sz w:val="22"/>
                <w:szCs w:val="22"/>
                <w:lang w:eastAsia="lt-LT"/>
              </w:rPr>
            </w:pPr>
          </w:p>
        </w:tc>
      </w:tr>
    </w:tbl>
    <w:p w14:paraId="3F8C43EA" w14:textId="77777777" w:rsidR="009D4048" w:rsidRPr="00BF2940" w:rsidRDefault="009D4048" w:rsidP="004B3A1A">
      <w:pPr>
        <w:jc w:val="both"/>
        <w:rPr>
          <w:rFonts w:asciiTheme="minorHAnsi" w:eastAsiaTheme="minorHAnsi" w:hAnsiTheme="minorHAnsi" w:cstheme="minorHAnsi"/>
          <w:sz w:val="22"/>
          <w:szCs w:val="22"/>
        </w:rPr>
      </w:pPr>
    </w:p>
    <w:sectPr w:rsidR="009D4048" w:rsidRPr="00BF2940" w:rsidSect="00553395">
      <w:pgSz w:w="12240" w:h="15840"/>
      <w:pgMar w:top="993"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8B2873"/>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7113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79443">
    <w:abstractNumId w:val="0"/>
  </w:num>
  <w:num w:numId="3" w16cid:durableId="211755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95"/>
    <w:rsid w:val="00006F91"/>
    <w:rsid w:val="00013434"/>
    <w:rsid w:val="000C7720"/>
    <w:rsid w:val="000E4DF6"/>
    <w:rsid w:val="00123E2C"/>
    <w:rsid w:val="00164660"/>
    <w:rsid w:val="001831C3"/>
    <w:rsid w:val="00190285"/>
    <w:rsid w:val="00192174"/>
    <w:rsid w:val="001F1FBE"/>
    <w:rsid w:val="002277BC"/>
    <w:rsid w:val="00230EB8"/>
    <w:rsid w:val="00283C71"/>
    <w:rsid w:val="00285797"/>
    <w:rsid w:val="00297F94"/>
    <w:rsid w:val="002A5EE1"/>
    <w:rsid w:val="002A5F1C"/>
    <w:rsid w:val="002C2466"/>
    <w:rsid w:val="002D5AED"/>
    <w:rsid w:val="003113DE"/>
    <w:rsid w:val="00317A62"/>
    <w:rsid w:val="0033114C"/>
    <w:rsid w:val="0037105D"/>
    <w:rsid w:val="003868E1"/>
    <w:rsid w:val="003944CB"/>
    <w:rsid w:val="003B41AA"/>
    <w:rsid w:val="003B478F"/>
    <w:rsid w:val="00424DF0"/>
    <w:rsid w:val="00441391"/>
    <w:rsid w:val="0044328D"/>
    <w:rsid w:val="00494D06"/>
    <w:rsid w:val="004B3A1A"/>
    <w:rsid w:val="004D3125"/>
    <w:rsid w:val="00527BFA"/>
    <w:rsid w:val="005449AA"/>
    <w:rsid w:val="00545598"/>
    <w:rsid w:val="00553395"/>
    <w:rsid w:val="00557824"/>
    <w:rsid w:val="005721BD"/>
    <w:rsid w:val="00593008"/>
    <w:rsid w:val="0059629C"/>
    <w:rsid w:val="005B018E"/>
    <w:rsid w:val="005C120B"/>
    <w:rsid w:val="005D2A24"/>
    <w:rsid w:val="006555B2"/>
    <w:rsid w:val="006761A8"/>
    <w:rsid w:val="00681E59"/>
    <w:rsid w:val="00684BF1"/>
    <w:rsid w:val="006D785C"/>
    <w:rsid w:val="00725AF2"/>
    <w:rsid w:val="007734BB"/>
    <w:rsid w:val="007C1D14"/>
    <w:rsid w:val="007C20FD"/>
    <w:rsid w:val="007C5553"/>
    <w:rsid w:val="007E4D60"/>
    <w:rsid w:val="007E7EF4"/>
    <w:rsid w:val="00804B06"/>
    <w:rsid w:val="008340DA"/>
    <w:rsid w:val="008879BF"/>
    <w:rsid w:val="008C2484"/>
    <w:rsid w:val="008D0F6A"/>
    <w:rsid w:val="009407AC"/>
    <w:rsid w:val="00960627"/>
    <w:rsid w:val="009B282B"/>
    <w:rsid w:val="009D4048"/>
    <w:rsid w:val="009D69AB"/>
    <w:rsid w:val="009D7629"/>
    <w:rsid w:val="00A02CAA"/>
    <w:rsid w:val="00A11C3A"/>
    <w:rsid w:val="00A229C7"/>
    <w:rsid w:val="00A448A6"/>
    <w:rsid w:val="00A56108"/>
    <w:rsid w:val="00AF468B"/>
    <w:rsid w:val="00B26F15"/>
    <w:rsid w:val="00B369BA"/>
    <w:rsid w:val="00B81A88"/>
    <w:rsid w:val="00BF2940"/>
    <w:rsid w:val="00C72767"/>
    <w:rsid w:val="00CF7232"/>
    <w:rsid w:val="00D2378B"/>
    <w:rsid w:val="00D41484"/>
    <w:rsid w:val="00DE5867"/>
    <w:rsid w:val="00E748B6"/>
    <w:rsid w:val="00E7684A"/>
    <w:rsid w:val="00E9120C"/>
    <w:rsid w:val="00EC27C2"/>
    <w:rsid w:val="00F52F3B"/>
    <w:rsid w:val="00F83721"/>
    <w:rsid w:val="00F96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3164"/>
  <w15:chartTrackingRefBased/>
  <w15:docId w15:val="{7E8EDEBD-BCC7-4013-B7EA-6A93C41C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9711F6DBC8C9/gfsiMnwKuk" TargetMode="External"/><Relationship Id="rId5" Type="http://schemas.openxmlformats.org/officeDocument/2006/relationships/hyperlink" Target="https://www.e-tar.lt/portal/lt/legalAct/TAR.9711F6DBC8C9/gfsiMnwK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4414</Words>
  <Characters>2516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2026-03-13T07:19:00Z</dcterms:created>
  <dcterms:modified xsi:type="dcterms:W3CDTF">2026-03-13T07:19:00Z</dcterms:modified>
</cp:coreProperties>
</file>