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B50" w14:textId="77777777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/ SIŪLYMAI / PASTABOS DĖL </w:t>
      </w:r>
    </w:p>
    <w:p w14:paraId="090BABC1" w14:textId="72AA50A4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EE7F4A" w:rsidRPr="00EE7F4A">
        <w:rPr>
          <w:rFonts w:ascii="Times New Roman" w:hAnsi="Times New Roman" w:cs="Times New Roman"/>
          <w:b/>
          <w:bCs/>
          <w:sz w:val="24"/>
          <w:szCs w:val="24"/>
        </w:rPr>
        <w:t>Centro poliklinikos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BE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rinkos konsultacijos</w:t>
      </w: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7F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A33FB8" w:rsidRPr="00A33FB8">
        <w:rPr>
          <w:rFonts w:ascii="Times New Roman" w:hAnsi="Times New Roman" w:cs="Times New Roman"/>
          <w:b/>
          <w:bCs/>
          <w:sz w:val="24"/>
          <w:szCs w:val="24"/>
        </w:rPr>
        <w:t>6810317</w:t>
      </w:r>
      <w:r w:rsidR="000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F4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66E93" w:rsidRPr="00366E93">
        <w:rPr>
          <w:rFonts w:ascii="Times New Roman" w:hAnsi="Times New Roman" w:cs="Times New Roman"/>
          <w:b/>
          <w:bCs/>
          <w:sz w:val="24"/>
          <w:szCs w:val="24"/>
        </w:rPr>
        <w:t>CP-198453 Reagentai ir papildomos priemonės šlapimo tyrimams atlikti su įrangos įsigijimu panaudos būdu</w:t>
      </w:r>
      <w:r w:rsidR="005F67F0" w:rsidRPr="00EE7F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545E9D" w:rsidRPr="00EE7F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6A40" w:rsidRPr="00446A40">
        <w:rPr>
          <w:rFonts w:ascii="Times New Roman" w:hAnsi="Times New Roman" w:cs="Times New Roman"/>
          <w:b/>
          <w:bCs/>
          <w:sz w:val="24"/>
          <w:szCs w:val="24"/>
        </w:rPr>
        <w:t>pirkimo dokumentų projekto</w:t>
      </w:r>
    </w:p>
    <w:p w14:paraId="138930A9" w14:textId="19E138A5" w:rsidR="0089678A" w:rsidRDefault="00C9581A" w:rsidP="00676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Gautos suinteresuotų rinkos dalyvių pastabos:</w:t>
      </w:r>
    </w:p>
    <w:tbl>
      <w:tblPr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969"/>
        <w:gridCol w:w="5670"/>
        <w:gridCol w:w="4253"/>
      </w:tblGrid>
      <w:tr w:rsidR="00C072BC" w:rsidRPr="009E574B" w14:paraId="7604ECF7" w14:textId="2BD0C02B" w:rsidTr="007F666F">
        <w:trPr>
          <w:trHeight w:val="544"/>
        </w:trPr>
        <w:tc>
          <w:tcPr>
            <w:tcW w:w="4526" w:type="dxa"/>
            <w:gridSpan w:val="2"/>
            <w:shd w:val="clear" w:color="auto" w:fill="D9D9D9" w:themeFill="background1" w:themeFillShade="D9"/>
            <w:vAlign w:val="center"/>
          </w:tcPr>
          <w:p w14:paraId="62163166" w14:textId="77777777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Techninių parametrų pavadinimas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194E905D" w14:textId="3B9A91F1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Tiekėjų pastabos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269059F" w14:textId="3FE5BDFF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57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Perkančiosios organizacijos atsakymas</w:t>
            </w:r>
          </w:p>
        </w:tc>
      </w:tr>
      <w:tr w:rsidR="006B6858" w:rsidRPr="009E574B" w14:paraId="281C66E7" w14:textId="77777777" w:rsidTr="007F666F">
        <w:trPr>
          <w:trHeight w:val="555"/>
        </w:trPr>
        <w:tc>
          <w:tcPr>
            <w:tcW w:w="557" w:type="dxa"/>
            <w:shd w:val="clear" w:color="auto" w:fill="FFFFFF"/>
            <w:vAlign w:val="center"/>
          </w:tcPr>
          <w:p w14:paraId="11D3BB39" w14:textId="67A16B9B" w:rsidR="006B6858" w:rsidRPr="009E574B" w:rsidRDefault="006B6858" w:rsidP="0091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B504" w14:textId="14BF28F8" w:rsidR="006B6858" w:rsidRDefault="006B6858" w:rsidP="005F0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Techninės specifikacijos lentelė Nr. </w:t>
            </w:r>
            <w:r w:rsidR="002D08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„</w:t>
            </w:r>
            <w:r w:rsidR="00166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Privalomi techniniai reikalavimai įrangai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“, </w:t>
            </w:r>
            <w:r w:rsidR="00166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3.4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punktas:</w:t>
            </w:r>
          </w:p>
          <w:p w14:paraId="02C2252B" w14:textId="4DF8B457" w:rsidR="006B6858" w:rsidRPr="00166985" w:rsidRDefault="00166985" w:rsidP="005F0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Automatinis šlapimo mėginių nukreipimą automatiniam šlapimo dalelių skaičiavimui ir vertinimui turi būti atliekamas pagal oficialias, gamintojo rekomenduojamas ir verifikuotas, lengvai koreguojamos pagal perkančiosios organizacijos poreikį, susietų AŠT tyrimų taisykles (angl. </w:t>
            </w:r>
            <w:proofErr w:type="spellStart"/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reflex</w:t>
            </w:r>
            <w:proofErr w:type="spellEnd"/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test</w:t>
            </w:r>
            <w:proofErr w:type="spellEnd"/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rules</w:t>
            </w:r>
            <w:proofErr w:type="spellEnd"/>
            <w:r w:rsidRPr="001669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).</w:t>
            </w:r>
          </w:p>
        </w:tc>
        <w:tc>
          <w:tcPr>
            <w:tcW w:w="5670" w:type="dxa"/>
            <w:shd w:val="clear" w:color="auto" w:fill="FFFFFF"/>
          </w:tcPr>
          <w:p w14:paraId="3070625F" w14:textId="77777777" w:rsidR="00E56ABB" w:rsidRPr="00A53B35" w:rsidRDefault="00E56ABB" w:rsidP="00E56ABB">
            <w:pPr>
              <w:rPr>
                <w:rFonts w:ascii="Times New Roman" w:hAnsi="Times New Roman" w:cs="Times New Roman"/>
              </w:rPr>
            </w:pPr>
            <w:r w:rsidRPr="00A53B35">
              <w:rPr>
                <w:rFonts w:ascii="Times New Roman" w:hAnsi="Times New Roman" w:cs="Times New Roman"/>
              </w:rPr>
              <w:t>Reikalavimai įrangai, 3.4 Automatinis šlapimo mėginių nukreipimą automatiniam šlapimo dalelių skaičiavimui ir vertinimui turi būti atliekamas pagal oficialias</w:t>
            </w:r>
            <w:r w:rsidRPr="00A53B35">
              <w:rPr>
                <w:rFonts w:ascii="Times New Roman" w:hAnsi="Times New Roman" w:cs="Times New Roman"/>
                <w:shd w:val="clear" w:color="auto" w:fill="FFFF00"/>
              </w:rPr>
              <w:t>, gamintojo rekomenduojamas ir verifikuotas</w:t>
            </w:r>
            <w:r w:rsidRPr="00A53B35">
              <w:rPr>
                <w:rFonts w:ascii="Times New Roman" w:hAnsi="Times New Roman" w:cs="Times New Roman"/>
              </w:rPr>
              <w:t xml:space="preserve">, lengvai koreguojamos pagal perkančiosios organizacijos poreikį, susietų AŠT tyrimų taisykles (angl. </w:t>
            </w:r>
            <w:proofErr w:type="spellStart"/>
            <w:r w:rsidRPr="00A53B35">
              <w:rPr>
                <w:rFonts w:ascii="Times New Roman" w:hAnsi="Times New Roman" w:cs="Times New Roman"/>
              </w:rPr>
              <w:t>reflex</w:t>
            </w:r>
            <w:proofErr w:type="spellEnd"/>
            <w:r w:rsidRPr="00A53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B35">
              <w:rPr>
                <w:rFonts w:ascii="Times New Roman" w:hAnsi="Times New Roman" w:cs="Times New Roman"/>
              </w:rPr>
              <w:t>test</w:t>
            </w:r>
            <w:proofErr w:type="spellEnd"/>
            <w:r w:rsidRPr="00A53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B35">
              <w:rPr>
                <w:rFonts w:ascii="Times New Roman" w:hAnsi="Times New Roman" w:cs="Times New Roman"/>
              </w:rPr>
              <w:t>rules</w:t>
            </w:r>
            <w:proofErr w:type="spellEnd"/>
            <w:r w:rsidRPr="00A53B35">
              <w:rPr>
                <w:rFonts w:ascii="Times New Roman" w:hAnsi="Times New Roman" w:cs="Times New Roman"/>
              </w:rPr>
              <w:t>).</w:t>
            </w:r>
          </w:p>
          <w:p w14:paraId="627AB6CB" w14:textId="77777777" w:rsidR="00E56ABB" w:rsidRPr="00A53B35" w:rsidRDefault="00E56ABB" w:rsidP="00E56ABB">
            <w:pPr>
              <w:rPr>
                <w:rFonts w:ascii="Times New Roman" w:hAnsi="Times New Roman" w:cs="Times New Roman"/>
              </w:rPr>
            </w:pPr>
            <w:r w:rsidRPr="00A53B35">
              <w:rPr>
                <w:rFonts w:ascii="Times New Roman" w:hAnsi="Times New Roman" w:cs="Times New Roman"/>
                <w:shd w:val="clear" w:color="auto" w:fill="FFFF00"/>
              </w:rPr>
              <w:t>„gamintojo rekomenduojamas ir verifikuotas</w:t>
            </w:r>
            <w:r w:rsidRPr="00A53B35">
              <w:rPr>
                <w:rFonts w:ascii="Times New Roman" w:hAnsi="Times New Roman" w:cs="Times New Roman"/>
              </w:rPr>
              <w:t>“ siūlome keisti į tiesiog „gamintojo numatytas” ar „gamintojo rekomenduojamas”. Gamintojas galėtų nebent pagelbėti verifikuoti taisykles perkančiosios organizacijos laboratorijoje.</w:t>
            </w:r>
          </w:p>
          <w:p w14:paraId="6D18A395" w14:textId="45999831" w:rsidR="006B6858" w:rsidRPr="00EE7F4A" w:rsidRDefault="006B6858" w:rsidP="008A4F84">
            <w:pPr>
              <w:spacing w:after="0" w:line="240" w:lineRule="auto"/>
              <w:ind w:left="149" w:right="1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3" w:type="dxa"/>
            <w:shd w:val="clear" w:color="auto" w:fill="FFFFFF"/>
          </w:tcPr>
          <w:p w14:paraId="6AD4E12A" w14:textId="064A259C" w:rsidR="00C055F6" w:rsidRPr="00C055F6" w:rsidRDefault="00C055F6" w:rsidP="00C055F6">
            <w:pPr>
              <w:spacing w:before="100" w:beforeAutospacing="1" w:after="100" w:afterAutospacing="1" w:line="240" w:lineRule="auto"/>
              <w:ind w:left="79" w:right="141" w:firstLine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0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Perkančioji organizacija, įvertinusi tiekėjo pastabą dėl techninės specifikacijos 3.4 punkto formuluotės „gamintojo rekomenduojamas ir verifikuotas“,</w:t>
            </w:r>
            <w:r w:rsidR="00E94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0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sutinka, kad taisyklių verifikavimas paprastai atliekamas konkrečios laboratorijos aplinkoje pagal jos taikomą kokybės vadybos sistemą ir</w:t>
            </w:r>
            <w:r w:rsidR="005E64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0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validavimo</w:t>
            </w:r>
            <w:proofErr w:type="spellEnd"/>
            <w:r w:rsidRPr="00C0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/verifikavimo procedūras.</w:t>
            </w:r>
          </w:p>
          <w:p w14:paraId="6548777A" w14:textId="33229BAB" w:rsidR="008A4F84" w:rsidRPr="008A4F84" w:rsidRDefault="00C055F6" w:rsidP="00C055F6">
            <w:pPr>
              <w:spacing w:line="240" w:lineRule="auto"/>
              <w:ind w:left="148" w:right="129"/>
              <w:jc w:val="both"/>
              <w:rPr>
                <w:rFonts w:ascii="Times New Roman" w:hAnsi="Times New Roman" w:cs="Times New Roman"/>
              </w:rPr>
            </w:pPr>
            <w:r w:rsidRPr="00166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Atsižvelgiant į tai, techninės specifikacijos 3.4 punkte formuluotė „gamintojo rekomenduojamas ir verifikuotas“ bus </w:t>
            </w:r>
            <w:r w:rsidRPr="00A53B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keičiama į „gamintojo</w:t>
            </w:r>
            <w:r w:rsidR="00A53B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53B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rekomenduojamas“.</w:t>
            </w:r>
            <w:r w:rsidRPr="00166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Kitos reikalavimo nuostatos lieka nepakeistos.</w:t>
            </w:r>
          </w:p>
        </w:tc>
      </w:tr>
    </w:tbl>
    <w:p w14:paraId="36F9E0C8" w14:textId="77777777" w:rsidR="00E0575F" w:rsidRDefault="00E0575F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BE340" w14:textId="5208CEFF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7CA6958A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 xml:space="preserve">, jei dalyvausite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>“ atsakytumėte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sectPr w:rsidR="009864CF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953287677">
    <w:abstractNumId w:val="1"/>
  </w:num>
  <w:num w:numId="2" w16cid:durableId="1644234652">
    <w:abstractNumId w:val="4"/>
  </w:num>
  <w:num w:numId="3" w16cid:durableId="1387294796">
    <w:abstractNumId w:val="11"/>
  </w:num>
  <w:num w:numId="4" w16cid:durableId="1641419343">
    <w:abstractNumId w:val="7"/>
  </w:num>
  <w:num w:numId="5" w16cid:durableId="1607342715">
    <w:abstractNumId w:val="6"/>
  </w:num>
  <w:num w:numId="6" w16cid:durableId="2064788122">
    <w:abstractNumId w:val="3"/>
  </w:num>
  <w:num w:numId="7" w16cid:durableId="753010017">
    <w:abstractNumId w:val="0"/>
  </w:num>
  <w:num w:numId="8" w16cid:durableId="509411782">
    <w:abstractNumId w:val="9"/>
  </w:num>
  <w:num w:numId="9" w16cid:durableId="1831405945">
    <w:abstractNumId w:val="10"/>
  </w:num>
  <w:num w:numId="10" w16cid:durableId="407076411">
    <w:abstractNumId w:val="8"/>
  </w:num>
  <w:num w:numId="11" w16cid:durableId="1546873481">
    <w:abstractNumId w:val="5"/>
  </w:num>
  <w:num w:numId="12" w16cid:durableId="1626739710">
    <w:abstractNumId w:val="12"/>
  </w:num>
  <w:num w:numId="13" w16cid:durableId="1269048841">
    <w:abstractNumId w:val="2"/>
  </w:num>
  <w:num w:numId="14" w16cid:durableId="502088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3099D"/>
    <w:rsid w:val="00052CAD"/>
    <w:rsid w:val="000539C6"/>
    <w:rsid w:val="00090ED1"/>
    <w:rsid w:val="000A34ED"/>
    <w:rsid w:val="000A5F00"/>
    <w:rsid w:val="000B0B0B"/>
    <w:rsid w:val="000B7C99"/>
    <w:rsid w:val="000D17C0"/>
    <w:rsid w:val="0010136F"/>
    <w:rsid w:val="00101462"/>
    <w:rsid w:val="00117237"/>
    <w:rsid w:val="00166985"/>
    <w:rsid w:val="00182647"/>
    <w:rsid w:val="001A3108"/>
    <w:rsid w:val="001B779F"/>
    <w:rsid w:val="00226503"/>
    <w:rsid w:val="00227DAA"/>
    <w:rsid w:val="00245BEC"/>
    <w:rsid w:val="00246DB0"/>
    <w:rsid w:val="002756AB"/>
    <w:rsid w:val="00285C99"/>
    <w:rsid w:val="00294103"/>
    <w:rsid w:val="002B3B07"/>
    <w:rsid w:val="002C502B"/>
    <w:rsid w:val="002D08DB"/>
    <w:rsid w:val="003623C3"/>
    <w:rsid w:val="00366E93"/>
    <w:rsid w:val="00396CB1"/>
    <w:rsid w:val="003B3F3B"/>
    <w:rsid w:val="003D21C9"/>
    <w:rsid w:val="003F25AE"/>
    <w:rsid w:val="004045EF"/>
    <w:rsid w:val="00427163"/>
    <w:rsid w:val="004275A7"/>
    <w:rsid w:val="00433975"/>
    <w:rsid w:val="00446A40"/>
    <w:rsid w:val="004A7831"/>
    <w:rsid w:val="004B31BA"/>
    <w:rsid w:val="004E3231"/>
    <w:rsid w:val="00525D48"/>
    <w:rsid w:val="005304E9"/>
    <w:rsid w:val="00545E9D"/>
    <w:rsid w:val="005555BC"/>
    <w:rsid w:val="0057370C"/>
    <w:rsid w:val="005E59BF"/>
    <w:rsid w:val="005E64D8"/>
    <w:rsid w:val="005F0FA7"/>
    <w:rsid w:val="005F67F0"/>
    <w:rsid w:val="00600AE1"/>
    <w:rsid w:val="0060344A"/>
    <w:rsid w:val="00633D56"/>
    <w:rsid w:val="00652435"/>
    <w:rsid w:val="00657309"/>
    <w:rsid w:val="0067539A"/>
    <w:rsid w:val="006762D3"/>
    <w:rsid w:val="00680C0E"/>
    <w:rsid w:val="0068225B"/>
    <w:rsid w:val="00686D0E"/>
    <w:rsid w:val="00695D00"/>
    <w:rsid w:val="006B6858"/>
    <w:rsid w:val="006C3066"/>
    <w:rsid w:val="006E70A7"/>
    <w:rsid w:val="006F5581"/>
    <w:rsid w:val="00715BA8"/>
    <w:rsid w:val="00737292"/>
    <w:rsid w:val="007406C9"/>
    <w:rsid w:val="0074586A"/>
    <w:rsid w:val="0074719D"/>
    <w:rsid w:val="007629D1"/>
    <w:rsid w:val="00762ED2"/>
    <w:rsid w:val="00762F2F"/>
    <w:rsid w:val="00773F28"/>
    <w:rsid w:val="007970B2"/>
    <w:rsid w:val="007971BB"/>
    <w:rsid w:val="007A4320"/>
    <w:rsid w:val="007A4D43"/>
    <w:rsid w:val="007F666F"/>
    <w:rsid w:val="00826439"/>
    <w:rsid w:val="00827339"/>
    <w:rsid w:val="00840925"/>
    <w:rsid w:val="008763C0"/>
    <w:rsid w:val="0089678A"/>
    <w:rsid w:val="008A4F84"/>
    <w:rsid w:val="008A7542"/>
    <w:rsid w:val="008D195B"/>
    <w:rsid w:val="008D3726"/>
    <w:rsid w:val="008D5F0E"/>
    <w:rsid w:val="008E03BF"/>
    <w:rsid w:val="008E5F6A"/>
    <w:rsid w:val="008F004A"/>
    <w:rsid w:val="00920232"/>
    <w:rsid w:val="0093452B"/>
    <w:rsid w:val="00946A87"/>
    <w:rsid w:val="00953048"/>
    <w:rsid w:val="00976E00"/>
    <w:rsid w:val="009864CF"/>
    <w:rsid w:val="00992ED9"/>
    <w:rsid w:val="00993BA6"/>
    <w:rsid w:val="009A4CF7"/>
    <w:rsid w:val="009A6568"/>
    <w:rsid w:val="009E3FC6"/>
    <w:rsid w:val="009E574B"/>
    <w:rsid w:val="00A168D9"/>
    <w:rsid w:val="00A2429A"/>
    <w:rsid w:val="00A33FB8"/>
    <w:rsid w:val="00A402DB"/>
    <w:rsid w:val="00A53B35"/>
    <w:rsid w:val="00A57B93"/>
    <w:rsid w:val="00A812AE"/>
    <w:rsid w:val="00A96529"/>
    <w:rsid w:val="00AA6936"/>
    <w:rsid w:val="00AB320D"/>
    <w:rsid w:val="00AC3C89"/>
    <w:rsid w:val="00AF04AD"/>
    <w:rsid w:val="00AF2521"/>
    <w:rsid w:val="00B13814"/>
    <w:rsid w:val="00B35FB8"/>
    <w:rsid w:val="00B37154"/>
    <w:rsid w:val="00B41D50"/>
    <w:rsid w:val="00B47982"/>
    <w:rsid w:val="00B516DC"/>
    <w:rsid w:val="00B51F14"/>
    <w:rsid w:val="00B7401B"/>
    <w:rsid w:val="00B80B4F"/>
    <w:rsid w:val="00B824CC"/>
    <w:rsid w:val="00B840C3"/>
    <w:rsid w:val="00B853DE"/>
    <w:rsid w:val="00B8597F"/>
    <w:rsid w:val="00BB632D"/>
    <w:rsid w:val="00BB720F"/>
    <w:rsid w:val="00BC56D7"/>
    <w:rsid w:val="00BC7F1A"/>
    <w:rsid w:val="00C0303A"/>
    <w:rsid w:val="00C055F6"/>
    <w:rsid w:val="00C072BC"/>
    <w:rsid w:val="00C36E7E"/>
    <w:rsid w:val="00C62C35"/>
    <w:rsid w:val="00C763C4"/>
    <w:rsid w:val="00C82028"/>
    <w:rsid w:val="00C8683E"/>
    <w:rsid w:val="00C9581A"/>
    <w:rsid w:val="00CA6C65"/>
    <w:rsid w:val="00CE7B1F"/>
    <w:rsid w:val="00D00B2E"/>
    <w:rsid w:val="00D1251F"/>
    <w:rsid w:val="00D31953"/>
    <w:rsid w:val="00D35B29"/>
    <w:rsid w:val="00D3732B"/>
    <w:rsid w:val="00D5672F"/>
    <w:rsid w:val="00D76038"/>
    <w:rsid w:val="00D82893"/>
    <w:rsid w:val="00D8522C"/>
    <w:rsid w:val="00D91FAE"/>
    <w:rsid w:val="00DC17AA"/>
    <w:rsid w:val="00DE7D8F"/>
    <w:rsid w:val="00E0575F"/>
    <w:rsid w:val="00E22049"/>
    <w:rsid w:val="00E43C7E"/>
    <w:rsid w:val="00E56ABB"/>
    <w:rsid w:val="00E75B7F"/>
    <w:rsid w:val="00E86ED9"/>
    <w:rsid w:val="00E94966"/>
    <w:rsid w:val="00EA7EE6"/>
    <w:rsid w:val="00ED1080"/>
    <w:rsid w:val="00ED24C5"/>
    <w:rsid w:val="00EE43F9"/>
    <w:rsid w:val="00EE7F4A"/>
    <w:rsid w:val="00F34D02"/>
    <w:rsid w:val="00F60BDD"/>
    <w:rsid w:val="00F77F6C"/>
    <w:rsid w:val="00F825A4"/>
    <w:rsid w:val="00FA0F70"/>
    <w:rsid w:val="00FD45BB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5F6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EE7F4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E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6ADBD923-C4C9-413F-ACB8-225D65C8B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2500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Nika Armonė</cp:lastModifiedBy>
  <cp:revision>16</cp:revision>
  <dcterms:created xsi:type="dcterms:W3CDTF">2026-03-03T14:16:00Z</dcterms:created>
  <dcterms:modified xsi:type="dcterms:W3CDTF">2026-03-13T12:56:00Z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