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C8B70" w14:textId="77777777" w:rsidR="003E4D8B" w:rsidRPr="003E4D8B" w:rsidRDefault="003E4D8B" w:rsidP="003E4D8B">
      <w:pPr>
        <w:suppressAutoHyphens/>
        <w:autoSpaceDN w:val="0"/>
        <w:spacing w:after="0" w:line="240" w:lineRule="auto"/>
        <w:jc w:val="right"/>
        <w:rPr>
          <w:rFonts w:ascii="Verdana" w:eastAsia="Arial Unicode MS" w:hAnsi="Verdana" w:cs="Times New Roman"/>
          <w:b/>
          <w:color w:val="00000A"/>
          <w:sz w:val="24"/>
          <w:szCs w:val="24"/>
        </w:rPr>
      </w:pPr>
      <w:r w:rsidRPr="003E4D8B">
        <w:rPr>
          <w:rFonts w:ascii="Verdana" w:eastAsia="Arial Unicode MS" w:hAnsi="Verdana" w:cs="Times New Roman"/>
          <w:b/>
          <w:color w:val="00000A"/>
          <w:sz w:val="24"/>
          <w:szCs w:val="24"/>
        </w:rPr>
        <w:t>Statybos rangos sutarties</w:t>
      </w:r>
    </w:p>
    <w:p w14:paraId="03AE3E74" w14:textId="77777777" w:rsidR="003E4D8B" w:rsidRPr="003E4D8B" w:rsidRDefault="003E4D8B" w:rsidP="003E4D8B">
      <w:pPr>
        <w:suppressAutoHyphens/>
        <w:autoSpaceDN w:val="0"/>
        <w:spacing w:after="0" w:line="240" w:lineRule="auto"/>
        <w:jc w:val="right"/>
        <w:rPr>
          <w:rFonts w:ascii="Verdana" w:eastAsia="Arial Unicode MS" w:hAnsi="Verdana" w:cs="Times New Roman"/>
          <w:b/>
          <w:color w:val="00000A"/>
          <w:sz w:val="24"/>
          <w:szCs w:val="24"/>
        </w:rPr>
      </w:pPr>
      <w:r w:rsidRPr="003E4D8B">
        <w:rPr>
          <w:rFonts w:ascii="Verdana" w:eastAsia="Arial Unicode MS" w:hAnsi="Verdana" w:cs="Times New Roman"/>
          <w:b/>
          <w:color w:val="00000A"/>
          <w:sz w:val="24"/>
          <w:szCs w:val="24"/>
        </w:rPr>
        <w:t>11 priedas</w:t>
      </w:r>
    </w:p>
    <w:p w14:paraId="4E9E97DF" w14:textId="77777777" w:rsidR="003E4D8B" w:rsidRPr="003E4D8B" w:rsidRDefault="003E4D8B" w:rsidP="003E4D8B">
      <w:pPr>
        <w:spacing w:after="0" w:line="240" w:lineRule="auto"/>
        <w:jc w:val="right"/>
        <w:rPr>
          <w:rFonts w:ascii="Verdana" w:hAnsi="Verdana"/>
          <w:bCs/>
          <w:sz w:val="24"/>
          <w:szCs w:val="24"/>
        </w:rPr>
      </w:pPr>
    </w:p>
    <w:p w14:paraId="3535148A" w14:textId="77777777" w:rsidR="003E4D8B" w:rsidRPr="003E4D8B" w:rsidRDefault="003E4D8B" w:rsidP="003E4D8B">
      <w:pPr>
        <w:tabs>
          <w:tab w:val="left" w:pos="5670"/>
        </w:tabs>
        <w:spacing w:after="0" w:line="240" w:lineRule="auto"/>
        <w:jc w:val="center"/>
        <w:rPr>
          <w:rFonts w:ascii="Verdana" w:eastAsia="Times New Roman" w:hAnsi="Verdana"/>
          <w:b/>
          <w:iCs/>
          <w:caps/>
          <w:sz w:val="24"/>
          <w:szCs w:val="24"/>
        </w:rPr>
      </w:pPr>
      <w:r w:rsidRPr="003E4D8B">
        <w:rPr>
          <w:rFonts w:ascii="Verdana" w:eastAsia="Times New Roman" w:hAnsi="Verdana"/>
          <w:b/>
          <w:iCs/>
          <w:caps/>
          <w:sz w:val="24"/>
          <w:szCs w:val="24"/>
        </w:rPr>
        <w:t xml:space="preserve">Rangovo DEKLARACIJA dėl ATITIKTIES REIKŠMINGOS ŽALOS NEDARYMO HORIZONTALIAJAM PRINCIPUI </w:t>
      </w:r>
    </w:p>
    <w:p w14:paraId="5061B365" w14:textId="77777777" w:rsidR="003E4D8B" w:rsidRPr="003E4D8B" w:rsidRDefault="003E4D8B" w:rsidP="003E4D8B">
      <w:pPr>
        <w:tabs>
          <w:tab w:val="left" w:pos="5670"/>
        </w:tabs>
        <w:spacing w:after="0" w:line="240" w:lineRule="auto"/>
        <w:jc w:val="center"/>
        <w:rPr>
          <w:rFonts w:ascii="Verdana" w:eastAsia="Times New Roman" w:hAnsi="Verdana"/>
          <w:b/>
          <w:iCs/>
          <w:caps/>
          <w:sz w:val="24"/>
          <w:szCs w:val="24"/>
        </w:rPr>
      </w:pPr>
    </w:p>
    <w:p w14:paraId="4F2C0B8C" w14:textId="77777777" w:rsidR="003E4D8B" w:rsidRPr="003E4D8B" w:rsidRDefault="003E4D8B" w:rsidP="003E4D8B">
      <w:pPr>
        <w:tabs>
          <w:tab w:val="left" w:pos="5670"/>
        </w:tabs>
        <w:spacing w:after="0" w:line="240" w:lineRule="auto"/>
        <w:jc w:val="center"/>
        <w:rPr>
          <w:rFonts w:ascii="Verdana" w:eastAsia="Times New Roman" w:hAnsi="Verdana"/>
          <w:b/>
          <w:iCs/>
          <w:caps/>
          <w:sz w:val="24"/>
          <w:szCs w:val="24"/>
        </w:rPr>
      </w:pPr>
    </w:p>
    <w:p w14:paraId="67C3DC3D" w14:textId="77777777" w:rsidR="003E4D8B" w:rsidRPr="003E4D8B" w:rsidRDefault="003E4D8B" w:rsidP="003E4D8B">
      <w:pPr>
        <w:tabs>
          <w:tab w:val="left" w:pos="5670"/>
        </w:tabs>
        <w:spacing w:after="0" w:line="240" w:lineRule="auto"/>
        <w:jc w:val="center"/>
        <w:rPr>
          <w:rFonts w:ascii="Verdana" w:eastAsia="Times New Roman" w:hAnsi="Verdana"/>
          <w:b/>
          <w:iCs/>
          <w:caps/>
          <w:sz w:val="24"/>
          <w:szCs w:val="24"/>
        </w:rPr>
      </w:pPr>
    </w:p>
    <w:p w14:paraId="5FE4FCF4" w14:textId="77777777" w:rsidR="003E4D8B" w:rsidRPr="003E4D8B" w:rsidRDefault="003E4D8B" w:rsidP="003E4D8B">
      <w:pPr>
        <w:tabs>
          <w:tab w:val="left" w:pos="284"/>
          <w:tab w:val="left" w:pos="1985"/>
        </w:tabs>
        <w:spacing w:after="0" w:line="240" w:lineRule="auto"/>
        <w:jc w:val="center"/>
        <w:rPr>
          <w:rFonts w:ascii="Verdana" w:eastAsia="Times New Roman" w:hAnsi="Verdana"/>
          <w:iCs/>
          <w:sz w:val="24"/>
          <w:szCs w:val="24"/>
        </w:rPr>
      </w:pPr>
      <w:r w:rsidRPr="003E4D8B">
        <w:rPr>
          <w:rFonts w:ascii="Verdana" w:eastAsia="Times New Roman" w:hAnsi="Verdana"/>
          <w:iCs/>
          <w:sz w:val="24"/>
          <w:szCs w:val="24"/>
        </w:rPr>
        <w:t>20___ m. ________________d.</w:t>
      </w:r>
    </w:p>
    <w:p w14:paraId="6EC912F3" w14:textId="77777777" w:rsidR="003E4D8B" w:rsidRPr="003E4D8B" w:rsidRDefault="003E4D8B" w:rsidP="003E4D8B">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Verdana" w:eastAsia="Times New Roman" w:hAnsi="Verdana"/>
          <w:iCs/>
          <w:sz w:val="24"/>
          <w:szCs w:val="24"/>
          <w:u w:val="single"/>
        </w:rPr>
      </w:pPr>
    </w:p>
    <w:p w14:paraId="32E8ED36" w14:textId="77777777" w:rsidR="003E4D8B" w:rsidRPr="003E4D8B" w:rsidRDefault="003E4D8B" w:rsidP="003E4D8B">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Verdana" w:eastAsia="Times New Roman" w:hAnsi="Verdana"/>
          <w:iCs/>
          <w:sz w:val="24"/>
          <w:szCs w:val="24"/>
        </w:rPr>
      </w:pPr>
      <w:r w:rsidRPr="003E4D8B">
        <w:rPr>
          <w:rFonts w:ascii="Verdana" w:eastAsia="Times New Roman" w:hAnsi="Verdana"/>
          <w:iCs/>
          <w:sz w:val="24"/>
          <w:szCs w:val="24"/>
        </w:rPr>
        <w:t>_______________________</w:t>
      </w:r>
    </w:p>
    <w:p w14:paraId="2CE1110D" w14:textId="77777777" w:rsidR="003E4D8B" w:rsidRPr="003E4D8B" w:rsidRDefault="003E4D8B" w:rsidP="003E4D8B">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Verdana" w:eastAsia="Times New Roman" w:hAnsi="Verdana"/>
          <w:i/>
          <w:iCs/>
          <w:sz w:val="24"/>
          <w:szCs w:val="24"/>
        </w:rPr>
      </w:pPr>
      <w:r w:rsidRPr="003E4D8B">
        <w:rPr>
          <w:rFonts w:ascii="Verdana" w:eastAsia="Times New Roman" w:hAnsi="Verdana"/>
          <w:i/>
          <w:iCs/>
          <w:sz w:val="24"/>
          <w:szCs w:val="24"/>
        </w:rPr>
        <w:t>(vietovės pavadinimas)</w:t>
      </w:r>
    </w:p>
    <w:p w14:paraId="5157F0CB" w14:textId="77777777" w:rsidR="003E4D8B" w:rsidRPr="003E4D8B" w:rsidRDefault="003E4D8B" w:rsidP="003E4D8B">
      <w:pPr>
        <w:spacing w:after="0" w:line="240" w:lineRule="auto"/>
        <w:jc w:val="center"/>
        <w:rPr>
          <w:rFonts w:ascii="Verdana" w:eastAsia="Times New Roman" w:hAnsi="Verdana"/>
          <w:b/>
          <w:iCs/>
          <w:sz w:val="24"/>
          <w:szCs w:val="24"/>
        </w:rPr>
      </w:pPr>
    </w:p>
    <w:p w14:paraId="35BD8A1E" w14:textId="77777777" w:rsidR="003E4D8B" w:rsidRPr="003E4D8B" w:rsidRDefault="003E4D8B" w:rsidP="003E4D8B">
      <w:pPr>
        <w:tabs>
          <w:tab w:val="center" w:pos="3686"/>
        </w:tabs>
        <w:spacing w:after="0" w:line="240" w:lineRule="auto"/>
        <w:rPr>
          <w:rFonts w:ascii="Verdana" w:eastAsia="Times New Roman" w:hAnsi="Verdana"/>
          <w:b/>
          <w:iCs/>
          <w:sz w:val="24"/>
          <w:szCs w:val="24"/>
        </w:rPr>
      </w:pPr>
    </w:p>
    <w:p w14:paraId="436869BB" w14:textId="77777777" w:rsidR="003E4D8B" w:rsidRPr="003E4D8B" w:rsidRDefault="003E4D8B" w:rsidP="003E4D8B">
      <w:pPr>
        <w:spacing w:after="0" w:line="240" w:lineRule="auto"/>
        <w:ind w:firstLine="720"/>
        <w:jc w:val="both"/>
        <w:rPr>
          <w:rFonts w:ascii="Verdana" w:eastAsia="Times New Roman" w:hAnsi="Verdana"/>
          <w:iCs/>
          <w:sz w:val="24"/>
          <w:szCs w:val="24"/>
        </w:rPr>
      </w:pPr>
      <w:r w:rsidRPr="003E4D8B">
        <w:rPr>
          <w:rFonts w:ascii="Verdana" w:eastAsia="Times New Roman" w:hAnsi="Verdana"/>
          <w:iCs/>
          <w:sz w:val="24"/>
          <w:szCs w:val="24"/>
        </w:rPr>
        <w:t>Aš, __________________________________________, mano atstovaujamos įmonės</w:t>
      </w:r>
    </w:p>
    <w:p w14:paraId="17ACF3B1" w14:textId="77777777" w:rsidR="003E4D8B" w:rsidRPr="003E4D8B" w:rsidRDefault="003E4D8B" w:rsidP="003E4D8B">
      <w:pPr>
        <w:spacing w:after="0" w:line="240" w:lineRule="auto"/>
        <w:ind w:firstLine="1426"/>
        <w:jc w:val="both"/>
        <w:rPr>
          <w:rFonts w:ascii="Verdana" w:eastAsia="Times New Roman" w:hAnsi="Verdana"/>
          <w:i/>
          <w:iCs/>
          <w:sz w:val="24"/>
          <w:szCs w:val="24"/>
        </w:rPr>
      </w:pPr>
      <w:r w:rsidRPr="003E4D8B">
        <w:rPr>
          <w:rFonts w:ascii="Verdana" w:eastAsia="Times New Roman" w:hAnsi="Verdana"/>
          <w:i/>
          <w:iCs/>
          <w:sz w:val="24"/>
          <w:szCs w:val="24"/>
        </w:rPr>
        <w:t>(vadovo ar jo įgalioto asmens vardas, pavardė)</w:t>
      </w:r>
    </w:p>
    <w:p w14:paraId="610D8F16" w14:textId="77777777" w:rsidR="003E4D8B" w:rsidRPr="003E4D8B" w:rsidRDefault="003E4D8B" w:rsidP="003E4D8B">
      <w:pPr>
        <w:spacing w:after="0" w:line="240" w:lineRule="auto"/>
        <w:rPr>
          <w:rFonts w:ascii="Verdana" w:eastAsia="Times New Roman" w:hAnsi="Verdana"/>
          <w:iCs/>
          <w:sz w:val="24"/>
          <w:szCs w:val="24"/>
        </w:rPr>
      </w:pPr>
      <w:r w:rsidRPr="003E4D8B">
        <w:rPr>
          <w:rFonts w:ascii="Verdana" w:eastAsia="Times New Roman" w:hAnsi="Verdana"/>
          <w:iCs/>
          <w:sz w:val="24"/>
          <w:szCs w:val="24"/>
        </w:rPr>
        <w:t>________________________________________________________________ vardu patvirtinu,</w:t>
      </w:r>
    </w:p>
    <w:p w14:paraId="60372B43" w14:textId="77777777" w:rsidR="003E4D8B" w:rsidRPr="003E4D8B" w:rsidRDefault="003E4D8B" w:rsidP="003E4D8B">
      <w:pPr>
        <w:spacing w:after="0" w:line="240" w:lineRule="auto"/>
        <w:ind w:firstLine="3735"/>
        <w:jc w:val="both"/>
        <w:rPr>
          <w:rFonts w:ascii="Verdana" w:eastAsia="Times New Roman" w:hAnsi="Verdana"/>
          <w:i/>
          <w:iCs/>
          <w:sz w:val="24"/>
          <w:szCs w:val="24"/>
        </w:rPr>
      </w:pPr>
      <w:r w:rsidRPr="003E4D8B">
        <w:rPr>
          <w:rFonts w:ascii="Verdana" w:eastAsia="Times New Roman" w:hAnsi="Verdana"/>
          <w:i/>
          <w:iCs/>
          <w:sz w:val="24"/>
          <w:szCs w:val="24"/>
        </w:rPr>
        <w:t>(įmonės pavadinimas)</w:t>
      </w:r>
    </w:p>
    <w:p w14:paraId="3F83953D" w14:textId="77777777" w:rsidR="003E4D8B" w:rsidRPr="003E4D8B" w:rsidRDefault="003E4D8B" w:rsidP="003E4D8B">
      <w:pPr>
        <w:spacing w:after="0" w:line="240" w:lineRule="auto"/>
        <w:ind w:firstLine="720"/>
        <w:jc w:val="both"/>
        <w:rPr>
          <w:rFonts w:ascii="Verdana" w:eastAsia="Times New Roman" w:hAnsi="Verdana"/>
          <w:iCs/>
          <w:sz w:val="24"/>
          <w:szCs w:val="24"/>
        </w:rPr>
      </w:pPr>
    </w:p>
    <w:p w14:paraId="36010E37" w14:textId="77777777" w:rsidR="003E4D8B" w:rsidRPr="003E4D8B" w:rsidRDefault="003E4D8B" w:rsidP="003E4D8B">
      <w:pPr>
        <w:spacing w:after="0" w:line="240" w:lineRule="auto"/>
        <w:rPr>
          <w:rFonts w:ascii="Verdana" w:eastAsia="Times New Roman" w:hAnsi="Verdana"/>
          <w:iCs/>
          <w:sz w:val="24"/>
          <w:szCs w:val="24"/>
        </w:rPr>
      </w:pPr>
    </w:p>
    <w:p w14:paraId="618B31A4" w14:textId="77777777" w:rsidR="003E4D8B" w:rsidRPr="003E4D8B" w:rsidRDefault="003E4D8B" w:rsidP="003E4D8B">
      <w:pPr>
        <w:spacing w:after="0" w:line="240" w:lineRule="auto"/>
        <w:ind w:firstLine="709"/>
        <w:jc w:val="both"/>
        <w:rPr>
          <w:rFonts w:ascii="Verdana" w:eastAsia="Times New Roman" w:hAnsi="Verdana"/>
          <w:iCs/>
          <w:sz w:val="24"/>
          <w:szCs w:val="24"/>
        </w:rPr>
      </w:pPr>
      <w:r w:rsidRPr="003E4D8B">
        <w:rPr>
          <w:rFonts w:ascii="Verdana" w:eastAsia="Times New Roman" w:hAnsi="Verdana"/>
          <w:iCs/>
          <w:sz w:val="24"/>
          <w:szCs w:val="24"/>
        </w:rPr>
        <w:t xml:space="preserve">kad rangos darbai atlikti pagal </w:t>
      </w:r>
      <w:r w:rsidRPr="003E4D8B">
        <w:rPr>
          <w:rFonts w:ascii="Verdana" w:hAnsi="Verdana"/>
          <w:sz w:val="24"/>
          <w:szCs w:val="24"/>
          <w:shd w:val="clear" w:color="auto" w:fill="FFFFFF"/>
        </w:rPr>
        <w:t xml:space="preserve">paprastojo remonto darbų aprašą Nr. 24 </w:t>
      </w:r>
      <w:r w:rsidRPr="003E4D8B">
        <w:rPr>
          <w:rFonts w:ascii="Verdana" w:hAnsi="Verdana"/>
          <w:b/>
          <w:bCs/>
          <w:sz w:val="24"/>
          <w:szCs w:val="24"/>
          <w:shd w:val="clear" w:color="auto" w:fill="FFFFFF"/>
        </w:rPr>
        <w:t xml:space="preserve">„Jono </w:t>
      </w:r>
      <w:proofErr w:type="spellStart"/>
      <w:r w:rsidRPr="003E4D8B">
        <w:rPr>
          <w:rFonts w:ascii="Verdana" w:hAnsi="Verdana"/>
          <w:b/>
          <w:bCs/>
          <w:sz w:val="24"/>
          <w:szCs w:val="24"/>
          <w:shd w:val="clear" w:color="auto" w:fill="FFFFFF"/>
        </w:rPr>
        <w:t>Totoraičio</w:t>
      </w:r>
      <w:proofErr w:type="spellEnd"/>
      <w:r w:rsidRPr="003E4D8B">
        <w:rPr>
          <w:rFonts w:ascii="Verdana" w:hAnsi="Verdana"/>
          <w:b/>
          <w:bCs/>
          <w:sz w:val="24"/>
          <w:szCs w:val="24"/>
          <w:shd w:val="clear" w:color="auto" w:fill="FFFFFF"/>
        </w:rPr>
        <w:t xml:space="preserve"> progimnazijos, Dariaus ir Girėno g. 7 Marijampolėje, paprastojo remonto darbų aprašas“</w:t>
      </w:r>
      <w:r w:rsidRPr="003E4D8B">
        <w:rPr>
          <w:rFonts w:ascii="Verdana" w:eastAsia="Times New Roman" w:hAnsi="Verdana"/>
          <w:iCs/>
          <w:sz w:val="24"/>
          <w:szCs w:val="24"/>
        </w:rPr>
        <w:t xml:space="preserve"> atitinka reikšmingos žalos nedarymo horizontaliajam principui vertinimo reikalavimų aprašo, kuris nustatytas </w:t>
      </w:r>
      <w:r w:rsidRPr="003E4D8B">
        <w:rPr>
          <w:rFonts w:ascii="Verdana" w:eastAsia="Times New Roman" w:hAnsi="Verdana"/>
          <w:color w:val="000000"/>
          <w:sz w:val="24"/>
          <w:szCs w:val="24"/>
        </w:rPr>
        <w:t xml:space="preserve">Regioninės pažangos priemonės 01-004-07-02-01 (RE) „Pagerinti viešųjų paslaugų prieinamumą, darbo vietų pasiekiamumą ir tam reikalingų išteklių naudojimo efektyvumą“ finansavimo gairių, patvirtintų Lietuvos </w:t>
      </w:r>
      <w:r w:rsidRPr="003E4D8B">
        <w:rPr>
          <w:rFonts w:ascii="Verdana" w:eastAsia="Times New Roman" w:hAnsi="Verdana"/>
          <w:sz w:val="24"/>
          <w:szCs w:val="24"/>
        </w:rPr>
        <w:t xml:space="preserve">Respublikos socialinės apsaugos ir darbo ministro </w:t>
      </w:r>
      <w:r w:rsidRPr="003E4D8B">
        <w:rPr>
          <w:rFonts w:ascii="Verdana" w:eastAsia="Times New Roman" w:hAnsi="Verdana"/>
          <w:iCs/>
          <w:sz w:val="24"/>
          <w:szCs w:val="24"/>
        </w:rPr>
        <w:t>2023 m. balandžio 7 d. įsakymu Nr. 1V-199</w:t>
      </w:r>
      <w:r w:rsidRPr="003E4D8B">
        <w:rPr>
          <w:rFonts w:ascii="Verdana" w:eastAsia="Times New Roman" w:hAnsi="Verdana"/>
          <w:iCs/>
          <w:sz w:val="24"/>
          <w:szCs w:val="24"/>
          <w:vertAlign w:val="superscript"/>
        </w:rPr>
        <w:t xml:space="preserve"> </w:t>
      </w:r>
      <w:r w:rsidRPr="003E4D8B">
        <w:rPr>
          <w:rFonts w:ascii="Verdana" w:eastAsia="Times New Roman" w:hAnsi="Verdana"/>
          <w:iCs/>
          <w:sz w:val="24"/>
          <w:szCs w:val="24"/>
        </w:rPr>
        <w:t>„Dėl regioninės pažangos priemonės 01-004-07-02-01 (RE) „pagerinti viešųjų paslaugų prieinamumą, darbo vietų pasiekiamumą ir tam reikalingų išteklių naudojimo efektyvumą“ finansavimo gairių patvirtinimo</w:t>
      </w:r>
      <w:r w:rsidRPr="003E4D8B">
        <w:rPr>
          <w:rFonts w:ascii="Verdana" w:eastAsia="Times New Roman" w:hAnsi="Verdana"/>
          <w:color w:val="000000"/>
          <w:sz w:val="24"/>
          <w:szCs w:val="24"/>
        </w:rPr>
        <w:t>“ (toliau – Gairės) 2 priede nustatytus</w:t>
      </w:r>
      <w:r w:rsidRPr="003E4D8B">
        <w:rPr>
          <w:rFonts w:ascii="Verdana" w:eastAsia="Times New Roman" w:hAnsi="Verdana"/>
          <w:iCs/>
          <w:sz w:val="24"/>
          <w:szCs w:val="24"/>
        </w:rPr>
        <w:t xml:space="preserve"> reikalavimus , t. y.:</w:t>
      </w:r>
    </w:p>
    <w:p w14:paraId="33FC3C5E" w14:textId="77777777" w:rsidR="003E4D8B" w:rsidRPr="003E4D8B" w:rsidRDefault="003E4D8B" w:rsidP="003E4D8B">
      <w:pPr>
        <w:spacing w:after="0" w:line="240" w:lineRule="auto"/>
        <w:jc w:val="both"/>
        <w:rPr>
          <w:rFonts w:ascii="Verdana" w:eastAsia="Times New Roman" w:hAnsi="Verdana"/>
          <w:iCs/>
          <w:sz w:val="24"/>
          <w:szCs w:val="24"/>
        </w:rPr>
      </w:pPr>
    </w:p>
    <w:p w14:paraId="6EA4A92E" w14:textId="77777777" w:rsidR="003E4D8B" w:rsidRPr="003E4D8B" w:rsidRDefault="003E4D8B" w:rsidP="003E4D8B">
      <w:pPr>
        <w:pStyle w:val="Sraopastraipa"/>
        <w:spacing w:after="0" w:line="240" w:lineRule="auto"/>
        <w:jc w:val="center"/>
        <w:rPr>
          <w:rFonts w:ascii="Verdana" w:hAnsi="Verdana"/>
          <w:b/>
          <w:bCs/>
        </w:rPr>
      </w:pPr>
      <w:r w:rsidRPr="003E4D8B">
        <w:rPr>
          <w:rFonts w:ascii="Verdana" w:hAnsi="Verdana"/>
          <w:b/>
          <w:bCs/>
        </w:rPr>
        <w:t>PROJEKTO ATITIKTIES REIKŠMINGOS ŽALOS NEDARYMO HORIZONTALIAJAM PRINCIPUI VERTINIMO REIKALAVIMŲ APRAŠAS</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8126"/>
      </w:tblGrid>
      <w:tr w:rsidR="003E4D8B" w:rsidRPr="003E4D8B" w14:paraId="6127D385" w14:textId="77777777" w:rsidTr="002940FB">
        <w:trPr>
          <w:jc w:val="center"/>
        </w:trPr>
        <w:tc>
          <w:tcPr>
            <w:tcW w:w="1679" w:type="dxa"/>
          </w:tcPr>
          <w:p w14:paraId="3DFB2B0B" w14:textId="77777777" w:rsidR="003E4D8B" w:rsidRPr="003E4D8B" w:rsidRDefault="003E4D8B" w:rsidP="002940FB">
            <w:pPr>
              <w:spacing w:after="0" w:line="240" w:lineRule="auto"/>
              <w:jc w:val="center"/>
              <w:rPr>
                <w:rFonts w:ascii="Verdana" w:eastAsia="Calibri" w:hAnsi="Verdana"/>
                <w:b/>
                <w:sz w:val="24"/>
                <w:szCs w:val="24"/>
              </w:rPr>
            </w:pPr>
            <w:r w:rsidRPr="003E4D8B">
              <w:rPr>
                <w:rFonts w:ascii="Verdana" w:eastAsia="Calibri" w:hAnsi="Verdana"/>
                <w:b/>
                <w:sz w:val="24"/>
                <w:szCs w:val="24"/>
              </w:rPr>
              <w:t>Aplinkos tikslai</w:t>
            </w:r>
          </w:p>
          <w:p w14:paraId="67AF1D09" w14:textId="77777777" w:rsidR="003E4D8B" w:rsidRPr="003E4D8B" w:rsidRDefault="003E4D8B" w:rsidP="002940FB">
            <w:pPr>
              <w:spacing w:after="0" w:line="240" w:lineRule="auto"/>
              <w:jc w:val="center"/>
              <w:rPr>
                <w:rFonts w:ascii="Verdana" w:eastAsia="Calibri" w:hAnsi="Verdana"/>
                <w:b/>
                <w:sz w:val="24"/>
                <w:szCs w:val="24"/>
              </w:rPr>
            </w:pPr>
          </w:p>
        </w:tc>
        <w:tc>
          <w:tcPr>
            <w:tcW w:w="7818" w:type="dxa"/>
          </w:tcPr>
          <w:p w14:paraId="43F9CC85" w14:textId="77777777" w:rsidR="003E4D8B" w:rsidRPr="003E4D8B" w:rsidRDefault="003E4D8B" w:rsidP="002940FB">
            <w:pPr>
              <w:spacing w:after="0" w:line="240" w:lineRule="auto"/>
              <w:jc w:val="center"/>
              <w:rPr>
                <w:rFonts w:ascii="Verdana" w:eastAsia="Calibri" w:hAnsi="Verdana"/>
                <w:b/>
                <w:sz w:val="24"/>
                <w:szCs w:val="24"/>
              </w:rPr>
            </w:pPr>
            <w:r w:rsidRPr="003E4D8B">
              <w:rPr>
                <w:rFonts w:ascii="Verdana" w:eastAsia="Calibri" w:hAnsi="Verdana"/>
                <w:b/>
                <w:sz w:val="24"/>
                <w:szCs w:val="24"/>
              </w:rPr>
              <w:t>Reikalavimai projektams dėl projekto atitikties reikšmingos žalos nedarymo horizontaliajam principui</w:t>
            </w:r>
          </w:p>
        </w:tc>
      </w:tr>
      <w:tr w:rsidR="003E4D8B" w:rsidRPr="003E4D8B" w14:paraId="5CAFC6DE" w14:textId="77777777" w:rsidTr="002940FB">
        <w:trPr>
          <w:jc w:val="center"/>
        </w:trPr>
        <w:tc>
          <w:tcPr>
            <w:tcW w:w="1679" w:type="dxa"/>
          </w:tcPr>
          <w:p w14:paraId="4FEA80EA" w14:textId="77777777" w:rsidR="003E4D8B" w:rsidRPr="003E4D8B" w:rsidRDefault="003E4D8B" w:rsidP="002940FB">
            <w:pPr>
              <w:tabs>
                <w:tab w:val="left" w:pos="289"/>
              </w:tabs>
              <w:spacing w:after="0" w:line="240" w:lineRule="auto"/>
              <w:ind w:firstLine="5"/>
              <w:jc w:val="both"/>
              <w:rPr>
                <w:rFonts w:ascii="Verdana" w:eastAsia="Calibri" w:hAnsi="Verdana"/>
                <w:sz w:val="24"/>
                <w:szCs w:val="24"/>
              </w:rPr>
            </w:pPr>
            <w:r w:rsidRPr="003E4D8B">
              <w:rPr>
                <w:rFonts w:ascii="Verdana" w:hAnsi="Verdana"/>
                <w:sz w:val="24"/>
                <w:szCs w:val="24"/>
              </w:rPr>
              <w:t>1. Klimato kaitos švelninimas</w:t>
            </w:r>
          </w:p>
        </w:tc>
        <w:tc>
          <w:tcPr>
            <w:tcW w:w="7818" w:type="dxa"/>
          </w:tcPr>
          <w:p w14:paraId="7260648D" w14:textId="77777777" w:rsidR="003E4D8B" w:rsidRPr="003E4D8B" w:rsidRDefault="003E4D8B" w:rsidP="002940FB">
            <w:pPr>
              <w:spacing w:after="0" w:line="240" w:lineRule="auto"/>
              <w:jc w:val="both"/>
              <w:rPr>
                <w:rFonts w:ascii="Verdana" w:hAnsi="Verdana"/>
                <w:sz w:val="24"/>
                <w:szCs w:val="24"/>
              </w:rPr>
            </w:pPr>
            <w:r w:rsidRPr="003E4D8B">
              <w:rPr>
                <w:rFonts w:ascii="Verdana" w:hAnsi="Verdana"/>
                <w:sz w:val="24"/>
                <w:szCs w:val="24"/>
              </w:rPr>
              <w:t xml:space="preserve">1.1. Įgyvendinant projekto veiklas turi būti laikomasi 2021 m. birželio 4 d. Komisijos deleguoto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(toliau – Reglamentas 2021/2139), I priede </w:t>
            </w:r>
            <w:r w:rsidRPr="003E4D8B">
              <w:rPr>
                <w:rFonts w:ascii="Verdana" w:hAnsi="Verdana"/>
                <w:sz w:val="24"/>
                <w:szCs w:val="24"/>
              </w:rPr>
              <w:lastRenderedPageBreak/>
              <w:t>atitinkamoms veikloms nustatytų reikalavimų dėl svaraus prisidėjimo prie klimato kaitos švelninimo (pvz., kai investuojama į naujų pastatų statybą, turi būti laikomasi Reglamento 2021/2139I priedo 7.1 papunktyje nustatytų reikalavimų).</w:t>
            </w:r>
          </w:p>
          <w:p w14:paraId="76FE635D" w14:textId="77777777" w:rsidR="003E4D8B" w:rsidRPr="003E4D8B" w:rsidRDefault="003E4D8B" w:rsidP="002940FB">
            <w:pPr>
              <w:spacing w:after="0" w:line="240" w:lineRule="auto"/>
              <w:jc w:val="both"/>
              <w:rPr>
                <w:rFonts w:ascii="Verdana" w:hAnsi="Verdana"/>
                <w:sz w:val="24"/>
                <w:szCs w:val="24"/>
              </w:rPr>
            </w:pPr>
            <w:r w:rsidRPr="003E4D8B">
              <w:rPr>
                <w:rFonts w:ascii="Verdana" w:hAnsi="Verdana"/>
                <w:sz w:val="24"/>
                <w:szCs w:val="24"/>
              </w:rPr>
              <w:t>1.2. Įgyvendinant projekto veiklas turi būti laikomasi ir šių reikalavimų:</w:t>
            </w:r>
          </w:p>
          <w:p w14:paraId="1836E797" w14:textId="77777777" w:rsidR="003E4D8B" w:rsidRPr="003E4D8B" w:rsidRDefault="003E4D8B" w:rsidP="002940FB">
            <w:pPr>
              <w:spacing w:after="0" w:line="240" w:lineRule="auto"/>
              <w:jc w:val="both"/>
              <w:rPr>
                <w:rFonts w:ascii="Verdana" w:hAnsi="Verdana"/>
                <w:sz w:val="24"/>
                <w:szCs w:val="24"/>
              </w:rPr>
            </w:pPr>
            <w:r w:rsidRPr="003E4D8B">
              <w:rPr>
                <w:rFonts w:ascii="Verdana" w:hAnsi="Verdana"/>
                <w:sz w:val="24"/>
                <w:szCs w:val="24"/>
              </w:rPr>
              <w:t>1.2.1. kai taikoma pagal Lietuvos Respublikos planuojamos ūkinės veiklos vertinimo įstatymą, turi būti atliktas planuojamos ūkinės veiklos poveikio aplinkai vertinimas (toliau – PAV) ir (ar) atranka dėl poveikio aplinkai vertinimo ir užtikrinama, kad būtų įvykdytas sprendimas dėl PAV nustatytų planuojamos ūkinės veiklos įgyvendinimo sąlygų, susijusių su atliktu PAV;</w:t>
            </w:r>
          </w:p>
          <w:p w14:paraId="0D5F48A0" w14:textId="77777777" w:rsidR="003E4D8B" w:rsidRPr="003E4D8B" w:rsidRDefault="003E4D8B" w:rsidP="002940FB">
            <w:pPr>
              <w:spacing w:after="0" w:line="240" w:lineRule="auto"/>
              <w:jc w:val="both"/>
              <w:rPr>
                <w:rFonts w:ascii="Verdana" w:hAnsi="Verdana"/>
                <w:sz w:val="24"/>
                <w:szCs w:val="24"/>
              </w:rPr>
            </w:pPr>
            <w:r w:rsidRPr="003E4D8B">
              <w:rPr>
                <w:rFonts w:ascii="Verdana" w:hAnsi="Verdana"/>
                <w:sz w:val="24"/>
                <w:szCs w:val="24"/>
              </w:rPr>
              <w:t>1.2.2. turi būti laikomasi aplinkos apsaugą ir statybas reglamentuojančių įstatymų ir juos įgyvendinančių teisės aktų;</w:t>
            </w:r>
          </w:p>
          <w:p w14:paraId="1B71E184" w14:textId="77777777" w:rsidR="003E4D8B" w:rsidRPr="003E4D8B" w:rsidRDefault="003E4D8B" w:rsidP="002940FB">
            <w:pPr>
              <w:spacing w:after="0" w:line="240" w:lineRule="auto"/>
              <w:jc w:val="both"/>
              <w:rPr>
                <w:rFonts w:ascii="Verdana" w:hAnsi="Verdana"/>
                <w:sz w:val="24"/>
                <w:szCs w:val="24"/>
              </w:rPr>
            </w:pPr>
            <w:r w:rsidRPr="003E4D8B">
              <w:rPr>
                <w:rFonts w:ascii="Verdana" w:hAnsi="Verdana"/>
                <w:sz w:val="24"/>
                <w:szCs w:val="24"/>
              </w:rPr>
              <w:t>1.2.3. investuojant į statinius, turi būti:</w:t>
            </w:r>
          </w:p>
          <w:p w14:paraId="7AE5520D" w14:textId="77777777" w:rsidR="003E4D8B" w:rsidRPr="003E4D8B" w:rsidRDefault="003E4D8B" w:rsidP="002940FB">
            <w:pPr>
              <w:spacing w:after="0" w:line="240" w:lineRule="auto"/>
              <w:jc w:val="both"/>
              <w:rPr>
                <w:rFonts w:ascii="Verdana" w:hAnsi="Verdana"/>
                <w:sz w:val="24"/>
                <w:szCs w:val="24"/>
              </w:rPr>
            </w:pPr>
            <w:r w:rsidRPr="003E4D8B">
              <w:rPr>
                <w:rFonts w:ascii="Verdana" w:hAnsi="Verdana"/>
                <w:sz w:val="24"/>
                <w:szCs w:val="24"/>
              </w:rPr>
              <w:t>1.2.3.1. laikomasi reikalavimų dėl pastatų energetinio naudingumo, nustatytų Lietuvos Respublikos statybos įstatymo 51 straipsnyje ir Statybos techniniame reglamente STR 2.01.02:2016 „Pastatų energinio naudingumo projektavimas ir sertifikavimas“, patvirtintame Lietuvos Respublikos aplinkos ministro </w:t>
            </w:r>
            <w:r w:rsidRPr="003E4D8B">
              <w:rPr>
                <w:rFonts w:ascii="Verdana" w:hAnsi="Verdana"/>
                <w:spacing w:val="10"/>
                <w:sz w:val="24"/>
                <w:szCs w:val="24"/>
              </w:rPr>
              <w:t>2016 m. lapkričio 11 d. įsakymu Nr. D1-754</w:t>
            </w:r>
            <w:r w:rsidRPr="003E4D8B">
              <w:rPr>
                <w:rFonts w:ascii="Verdana" w:hAnsi="Verdana"/>
                <w:sz w:val="24"/>
                <w:szCs w:val="24"/>
              </w:rPr>
              <w:t> „Dėl Statybos techninio reglamento STR 2.01.02:2016 „Pastatų energinio naudingumo projektavimas ir sertifikavimas“ patvirtinimo“;</w:t>
            </w:r>
          </w:p>
          <w:p w14:paraId="4A89B967" w14:textId="77777777" w:rsidR="003E4D8B" w:rsidRPr="003E4D8B" w:rsidRDefault="003E4D8B" w:rsidP="002940FB">
            <w:pPr>
              <w:spacing w:after="0" w:line="240" w:lineRule="auto"/>
              <w:jc w:val="both"/>
              <w:rPr>
                <w:rFonts w:ascii="Verdana" w:hAnsi="Verdana"/>
                <w:sz w:val="24"/>
                <w:szCs w:val="24"/>
              </w:rPr>
            </w:pPr>
            <w:r w:rsidRPr="003E4D8B">
              <w:rPr>
                <w:rFonts w:ascii="Verdana" w:hAnsi="Verdana"/>
                <w:sz w:val="24"/>
                <w:szCs w:val="24"/>
              </w:rPr>
              <w:t>1.2.3.2. vadovaujamasi beveik energijos nenaudojančių pastatų projektavimo, statybos ir eksploatacijos (angl. </w:t>
            </w:r>
            <w:proofErr w:type="spellStart"/>
            <w:r w:rsidRPr="003E4D8B">
              <w:rPr>
                <w:rFonts w:ascii="Verdana" w:hAnsi="Verdana"/>
                <w:i/>
                <w:iCs/>
                <w:sz w:val="24"/>
                <w:szCs w:val="24"/>
              </w:rPr>
              <w:t>Nearly</w:t>
            </w:r>
            <w:proofErr w:type="spellEnd"/>
            <w:r w:rsidRPr="003E4D8B">
              <w:rPr>
                <w:rFonts w:ascii="Verdana" w:hAnsi="Verdana"/>
                <w:i/>
                <w:iCs/>
                <w:sz w:val="24"/>
                <w:szCs w:val="24"/>
              </w:rPr>
              <w:t xml:space="preserve"> </w:t>
            </w:r>
            <w:proofErr w:type="spellStart"/>
            <w:r w:rsidRPr="003E4D8B">
              <w:rPr>
                <w:rFonts w:ascii="Verdana" w:hAnsi="Verdana"/>
                <w:i/>
                <w:iCs/>
                <w:sz w:val="24"/>
                <w:szCs w:val="24"/>
              </w:rPr>
              <w:t>Zero</w:t>
            </w:r>
            <w:proofErr w:type="spellEnd"/>
            <w:r w:rsidRPr="003E4D8B">
              <w:rPr>
                <w:rFonts w:ascii="Verdana" w:hAnsi="Verdana"/>
                <w:i/>
                <w:iCs/>
                <w:sz w:val="24"/>
                <w:szCs w:val="24"/>
              </w:rPr>
              <w:t xml:space="preserve"> </w:t>
            </w:r>
            <w:proofErr w:type="spellStart"/>
            <w:r w:rsidRPr="003E4D8B">
              <w:rPr>
                <w:rFonts w:ascii="Verdana" w:hAnsi="Verdana"/>
                <w:i/>
                <w:iCs/>
                <w:sz w:val="24"/>
                <w:szCs w:val="24"/>
              </w:rPr>
              <w:t>Energy</w:t>
            </w:r>
            <w:proofErr w:type="spellEnd"/>
            <w:r w:rsidRPr="003E4D8B">
              <w:rPr>
                <w:rFonts w:ascii="Verdana" w:hAnsi="Verdana"/>
                <w:i/>
                <w:iCs/>
                <w:sz w:val="24"/>
                <w:szCs w:val="24"/>
              </w:rPr>
              <w:t xml:space="preserve"> </w:t>
            </w:r>
            <w:proofErr w:type="spellStart"/>
            <w:r w:rsidRPr="003E4D8B">
              <w:rPr>
                <w:rFonts w:ascii="Verdana" w:hAnsi="Verdana"/>
                <w:i/>
                <w:iCs/>
                <w:sz w:val="24"/>
                <w:szCs w:val="24"/>
              </w:rPr>
              <w:t>Building</w:t>
            </w:r>
            <w:proofErr w:type="spellEnd"/>
            <w:r w:rsidRPr="003E4D8B">
              <w:rPr>
                <w:rFonts w:ascii="Verdana" w:hAnsi="Verdana"/>
                <w:sz w:val="24"/>
                <w:szCs w:val="24"/>
              </w:rPr>
              <w:t>, NZEB) standartu, kuris skelbiamas internete (https://energy.ec.europa.eu/topics/energy-efficiency/energy-efficient-buildings/nearly-zero-energy-buildings_en#documents);</w:t>
            </w:r>
          </w:p>
          <w:p w14:paraId="209A87DA" w14:textId="77777777" w:rsidR="003E4D8B" w:rsidRPr="003E4D8B" w:rsidRDefault="003E4D8B" w:rsidP="002940FB">
            <w:pPr>
              <w:spacing w:after="0" w:line="240" w:lineRule="auto"/>
              <w:jc w:val="both"/>
              <w:rPr>
                <w:rFonts w:ascii="Verdana" w:hAnsi="Verdana"/>
                <w:sz w:val="24"/>
                <w:szCs w:val="24"/>
              </w:rPr>
            </w:pPr>
            <w:r w:rsidRPr="003E4D8B">
              <w:rPr>
                <w:rFonts w:ascii="Verdana" w:hAnsi="Verdana"/>
                <w:sz w:val="24"/>
                <w:szCs w:val="24"/>
              </w:rPr>
              <w:t>1.2.3.3. laikomasi Statybos techninio reglamento STR 2.06.04:2014 „Gatvės ir vietinės reikšmės keliai. Bendrieji reikalavimai“, patvirtinto Lietuvos Respublikos aplinkos ministro 2011 m. gruodžio 2 d. įsakymu Nr. D1-933 „Dėl Statybos techninio reglamento STR 2.06.04:2014 „Gatvės ir vietinės reikšmės keliai. Bendrieji reikalavimai“ patvirtinimo“, 107</w:t>
            </w:r>
            <w:r w:rsidRPr="003E4D8B">
              <w:rPr>
                <w:rFonts w:ascii="Verdana" w:hAnsi="Verdana"/>
                <w:sz w:val="24"/>
                <w:szCs w:val="24"/>
                <w:vertAlign w:val="superscript"/>
              </w:rPr>
              <w:t>1</w:t>
            </w:r>
            <w:r w:rsidRPr="003E4D8B">
              <w:rPr>
                <w:rFonts w:ascii="Verdana" w:hAnsi="Verdana"/>
                <w:sz w:val="24"/>
                <w:szCs w:val="24"/>
              </w:rPr>
              <w:t> punkte nustatyto reikalavimo (kai taikytina, atsižvelgiant į projekto pobūdį);</w:t>
            </w:r>
          </w:p>
          <w:p w14:paraId="635A6B18" w14:textId="77777777" w:rsidR="003E4D8B" w:rsidRPr="003E4D8B" w:rsidRDefault="003E4D8B" w:rsidP="002940FB">
            <w:pPr>
              <w:spacing w:after="0" w:line="240" w:lineRule="auto"/>
              <w:jc w:val="both"/>
              <w:rPr>
                <w:rFonts w:ascii="Verdana" w:hAnsi="Verdana"/>
                <w:sz w:val="24"/>
                <w:szCs w:val="24"/>
              </w:rPr>
            </w:pPr>
            <w:r w:rsidRPr="003E4D8B">
              <w:rPr>
                <w:rFonts w:ascii="Verdana" w:hAnsi="Verdana"/>
                <w:sz w:val="24"/>
                <w:szCs w:val="24"/>
              </w:rPr>
              <w:t>1.2.4. vadovaujantis Lietuvos Respublikos Vyriausybės </w:t>
            </w:r>
            <w:r w:rsidRPr="003E4D8B">
              <w:rPr>
                <w:rFonts w:ascii="Verdana" w:hAnsi="Verdana"/>
                <w:sz w:val="24"/>
                <w:szCs w:val="24"/>
                <w:shd w:val="clear" w:color="auto" w:fill="FFFFFF"/>
              </w:rPr>
              <w:t>2010 m. liepos 21 d. nutarimu Nr. 1133 </w:t>
            </w:r>
            <w:r w:rsidRPr="003E4D8B">
              <w:rPr>
                <w:rFonts w:ascii="Verdana" w:hAnsi="Verdana"/>
                <w:sz w:val="24"/>
                <w:szCs w:val="24"/>
              </w:rPr>
              <w:t>„Dėl Žaliųjų pirkimų tikslų nustatymo ir įgyvendinimo“, atliekant visus pirkimus (išskyrus šiame Gairių papunktyje nurodytame nutarime numatytas išimtis), turi būti taikomi žaliųjų pirkimų reikalavimai pagal Aplinkos apsaugos kriterijų taikymo vykdant žaliuosius pirkimus tvarkos aprašą, patvirtintą aplinkos ministro 2011 m. birželio 28 d. įsakymu Nr. D1-508</w:t>
            </w:r>
            <w:r w:rsidRPr="003E4D8B">
              <w:rPr>
                <w:rFonts w:ascii="Verdana" w:hAnsi="Verdana"/>
                <w:sz w:val="24"/>
                <w:szCs w:val="24"/>
                <w:shd w:val="clear" w:color="auto" w:fill="FFFFFF"/>
              </w:rPr>
              <w:t> „Dėl </w:t>
            </w:r>
            <w:r w:rsidRPr="003E4D8B">
              <w:rPr>
                <w:rFonts w:ascii="Verdana" w:hAnsi="Verdana"/>
                <w:sz w:val="24"/>
                <w:szCs w:val="24"/>
              </w:rPr>
              <w:t>Aplinkos apsaugos kriterijų taikymo, vykdant žaliuosius pirkimus, tvarkos aprašo </w:t>
            </w:r>
            <w:r w:rsidRPr="003E4D8B">
              <w:rPr>
                <w:rFonts w:ascii="Verdana" w:hAnsi="Verdana"/>
                <w:sz w:val="24"/>
                <w:szCs w:val="24"/>
                <w:shd w:val="clear" w:color="auto" w:fill="FFFFFF"/>
              </w:rPr>
              <w:t>patvirtinimo“;</w:t>
            </w:r>
          </w:p>
          <w:p w14:paraId="1ECB5AB4" w14:textId="77777777" w:rsidR="003E4D8B" w:rsidRPr="003E4D8B" w:rsidRDefault="003E4D8B" w:rsidP="002940FB">
            <w:pPr>
              <w:spacing w:after="0" w:line="240" w:lineRule="auto"/>
              <w:jc w:val="both"/>
              <w:rPr>
                <w:rFonts w:ascii="Verdana" w:hAnsi="Verdana"/>
                <w:sz w:val="24"/>
                <w:szCs w:val="24"/>
              </w:rPr>
            </w:pPr>
            <w:r w:rsidRPr="003E4D8B">
              <w:rPr>
                <w:rFonts w:ascii="Verdana" w:hAnsi="Verdana"/>
                <w:sz w:val="24"/>
                <w:szCs w:val="24"/>
              </w:rPr>
              <w:t>1.2.5. įsigyjant elektros ir elektroninę įrangą, turi būti laikomasi šių reikalavimų:</w:t>
            </w:r>
          </w:p>
          <w:p w14:paraId="7A635CD7" w14:textId="77777777" w:rsidR="003E4D8B" w:rsidRPr="003E4D8B" w:rsidRDefault="003E4D8B" w:rsidP="002940FB">
            <w:pPr>
              <w:spacing w:after="0" w:line="240" w:lineRule="auto"/>
              <w:jc w:val="both"/>
              <w:rPr>
                <w:rFonts w:ascii="Verdana" w:hAnsi="Verdana"/>
                <w:sz w:val="24"/>
                <w:szCs w:val="24"/>
              </w:rPr>
            </w:pPr>
            <w:r w:rsidRPr="003E4D8B">
              <w:rPr>
                <w:rFonts w:ascii="Verdana" w:hAnsi="Verdana"/>
                <w:sz w:val="24"/>
                <w:szCs w:val="24"/>
              </w:rPr>
              <w:lastRenderedPageBreak/>
              <w:t>1.2.5.1. </w:t>
            </w:r>
            <w:r w:rsidRPr="003E4D8B">
              <w:rPr>
                <w:rFonts w:ascii="Verdana" w:hAnsi="Verdana"/>
                <w:color w:val="000000"/>
                <w:sz w:val="24"/>
                <w:szCs w:val="24"/>
              </w:rPr>
              <w:t>įranga turi atitikti reikalavimus, nustatytus su energija susijusiems gaminiams Ekologinio projektavimo reikalavimų su energija susijusiems gaminiams nustatymo sistemos ir jos įgyvendinimo priemonių taikymo techniniame reglamente, patvirtintame Lietuvos Respublikos ūkio ministro 2007 m. spalio 23 d. įsakymu Nr. 4-438 „Dėl Ekologinio projektavimo reikalavimų su energija susijusiems gaminiams nustatymo sistemos ir jos įgyvendinimo priemonių taikymo techninio reglamento patvirtinimo“;</w:t>
            </w:r>
          </w:p>
          <w:p w14:paraId="50ED9FD0" w14:textId="77777777" w:rsidR="003E4D8B" w:rsidRPr="003E4D8B" w:rsidRDefault="003E4D8B" w:rsidP="002940FB">
            <w:pPr>
              <w:spacing w:after="0" w:line="240" w:lineRule="auto"/>
              <w:jc w:val="both"/>
              <w:rPr>
                <w:rFonts w:ascii="Verdana" w:hAnsi="Verdana"/>
                <w:sz w:val="24"/>
                <w:szCs w:val="24"/>
              </w:rPr>
            </w:pPr>
            <w:r w:rsidRPr="003E4D8B">
              <w:rPr>
                <w:rFonts w:ascii="Verdana" w:hAnsi="Verdana"/>
                <w:sz w:val="24"/>
                <w:szCs w:val="24"/>
              </w:rPr>
              <w:t>1.</w:t>
            </w:r>
            <w:r w:rsidRPr="003E4D8B">
              <w:rPr>
                <w:rFonts w:ascii="Verdana" w:hAnsi="Verdana"/>
                <w:color w:val="000000"/>
                <w:sz w:val="24"/>
                <w:szCs w:val="24"/>
              </w:rPr>
              <w:t>2.5.2. turi būti užtikrintas pavojingųjų medžiagų, nurodytų Tam tikrų pavojingųjų medžiagų naudojimo ribojimo elektros ir elektroninėje įrangoje taisyklėse, patvirtintose Lietuvos Respublikos ekonomikos ir inovacijų ministro 2008 m. spalio 8 d. įsakymu Nr. 4-459 „Dėl Tam tikrų pavojingųjų medžiagų naudojimo ribojimo elektros ir elektroninėje įrangoje taisyklių patvirtinimo“, naudojimo ribojimas įrangoje, kaip nustatyta šiame papunktyje nurodytose taisyklėse</w:t>
            </w:r>
            <w:r w:rsidRPr="003E4D8B">
              <w:rPr>
                <w:rFonts w:ascii="Verdana" w:hAnsi="Verdana"/>
                <w:sz w:val="24"/>
                <w:szCs w:val="24"/>
              </w:rPr>
              <w:t>;</w:t>
            </w:r>
          </w:p>
          <w:p w14:paraId="4718C435" w14:textId="77777777" w:rsidR="003E4D8B" w:rsidRPr="003E4D8B" w:rsidRDefault="003E4D8B" w:rsidP="002940FB">
            <w:pPr>
              <w:spacing w:after="0" w:line="240" w:lineRule="auto"/>
              <w:jc w:val="both"/>
              <w:rPr>
                <w:rFonts w:ascii="Verdana" w:hAnsi="Verdana"/>
                <w:sz w:val="24"/>
                <w:szCs w:val="24"/>
              </w:rPr>
            </w:pPr>
            <w:r w:rsidRPr="003E4D8B">
              <w:rPr>
                <w:rFonts w:ascii="Verdana" w:hAnsi="Verdana"/>
                <w:sz w:val="24"/>
                <w:szCs w:val="24"/>
              </w:rPr>
              <w:t>1.2.5.3. įranga, kuri įtraukta į Prekių, išskyrus kelių transporto priemones, kurioms viešųjų pirkimų metu taikomi energijos vartojimo efektyvumo reikalavimai, sąrašą, patvirtintą Lietuvos Respublikos energetikos ministro 2015 m. birželio 18 d. įsakymu Nr. 1-154 „Dėl Prekių, išskyrus kelių transporto priemones, kurioms viešųjų pirkimų metu taikomi energijos vartojimo efektyvumo reikalavimai, sąrašo patvirtinimo“, (toliau – prekių sąrašas) turi atitikti aukščiausio energinio efektyvumo klasę (</w:t>
            </w:r>
            <w:r w:rsidRPr="003E4D8B">
              <w:rPr>
                <w:rFonts w:ascii="Verdana" w:hAnsi="Verdana"/>
                <w:color w:val="000000"/>
                <w:sz w:val="24"/>
                <w:szCs w:val="24"/>
              </w:rPr>
              <w:t>prieinamą Lietuvos rinkoje)</w:t>
            </w:r>
            <w:r w:rsidRPr="003E4D8B">
              <w:rPr>
                <w:rFonts w:ascii="Verdana" w:hAnsi="Verdana"/>
                <w:sz w:val="24"/>
                <w:szCs w:val="24"/>
              </w:rPr>
              <w:t>, nustatytą prekių sąraše nurodytuose Europos Komisijos perduotuose reglamentuose dėl gaminių energijos vartojimo efektyvumo ženklinimo reikalavimų; o jeigu šie reikalavimai netaikomi, tai prekės turi atitikti prekių sąraše nurodytuose Europos Komisijos reglamentuose dėl gaminių ekologinio projektavimo nustatytus efektyvaus energijos vartojimo kriterijus;</w:t>
            </w:r>
          </w:p>
          <w:p w14:paraId="1C2BF056" w14:textId="77777777" w:rsidR="003E4D8B" w:rsidRPr="003E4D8B" w:rsidRDefault="003E4D8B" w:rsidP="002940FB">
            <w:pPr>
              <w:spacing w:after="0" w:line="240" w:lineRule="auto"/>
              <w:jc w:val="both"/>
              <w:rPr>
                <w:rFonts w:ascii="Verdana" w:eastAsia="Calibri" w:hAnsi="Verdana"/>
                <w:bCs/>
                <w:iCs/>
                <w:sz w:val="24"/>
                <w:szCs w:val="24"/>
              </w:rPr>
            </w:pPr>
            <w:r w:rsidRPr="003E4D8B">
              <w:rPr>
                <w:rFonts w:ascii="Verdana" w:hAnsi="Verdana"/>
                <w:sz w:val="24"/>
                <w:szCs w:val="24"/>
              </w:rPr>
              <w:t>1.2.6. turi būti įsigyjamos netaršios transporto priemonės, kaip jos suprantamos pagal Lietuvos Respublikos alternatyviųjų degalų</w:t>
            </w:r>
          </w:p>
        </w:tc>
      </w:tr>
      <w:tr w:rsidR="003E4D8B" w:rsidRPr="003E4D8B" w14:paraId="1BE2932A" w14:textId="77777777" w:rsidTr="002940FB">
        <w:trPr>
          <w:jc w:val="center"/>
        </w:trPr>
        <w:tc>
          <w:tcPr>
            <w:tcW w:w="1679" w:type="dxa"/>
          </w:tcPr>
          <w:p w14:paraId="5E6D1241" w14:textId="77777777" w:rsidR="003E4D8B" w:rsidRPr="003E4D8B" w:rsidRDefault="003E4D8B" w:rsidP="002940FB">
            <w:pPr>
              <w:tabs>
                <w:tab w:val="left" w:pos="289"/>
              </w:tabs>
              <w:spacing w:after="0" w:line="240" w:lineRule="auto"/>
              <w:ind w:firstLine="5"/>
              <w:jc w:val="both"/>
              <w:rPr>
                <w:rFonts w:ascii="Verdana" w:eastAsia="Calibri" w:hAnsi="Verdana"/>
                <w:sz w:val="24"/>
                <w:szCs w:val="24"/>
              </w:rPr>
            </w:pPr>
            <w:r w:rsidRPr="003E4D8B">
              <w:rPr>
                <w:rFonts w:ascii="Verdana" w:eastAsia="Calibri" w:hAnsi="Verdana"/>
                <w:sz w:val="24"/>
                <w:szCs w:val="24"/>
              </w:rPr>
              <w:lastRenderedPageBreak/>
              <w:t>2. Prisitaikymas prie klimato kaito</w:t>
            </w:r>
          </w:p>
        </w:tc>
        <w:tc>
          <w:tcPr>
            <w:tcW w:w="7818" w:type="dxa"/>
          </w:tcPr>
          <w:p w14:paraId="19623F20" w14:textId="77777777" w:rsidR="003E4D8B" w:rsidRPr="003E4D8B" w:rsidRDefault="003E4D8B" w:rsidP="002940FB">
            <w:pPr>
              <w:spacing w:after="0" w:line="240" w:lineRule="auto"/>
              <w:jc w:val="both"/>
              <w:rPr>
                <w:rFonts w:ascii="Verdana" w:hAnsi="Verdana"/>
                <w:sz w:val="24"/>
                <w:szCs w:val="24"/>
              </w:rPr>
            </w:pPr>
            <w:r w:rsidRPr="003E4D8B">
              <w:rPr>
                <w:rFonts w:ascii="Verdana" w:hAnsi="Verdana"/>
                <w:sz w:val="24"/>
                <w:szCs w:val="24"/>
              </w:rPr>
              <w:t>2.1. Įgyvendinant projekto veiklas turi būti laikomasi Reglamento 2021/2139 II priede atitinkamoms veikloms nustatytų reikalavimų dėl prisitaikymo prie klimato kaitos švelninimo ir šios lentelės pirmos eilutės 1.2 papunktyje nurodytų reikalavimų (pvz., kai investuojama į naujų pastatų statybą, turi būti laikomasi Reglamento 2021/2139 II priedo 7.1 papunktyje nustatytų reikalavimų).</w:t>
            </w:r>
          </w:p>
          <w:p w14:paraId="691C7D99" w14:textId="77777777" w:rsidR="003E4D8B" w:rsidRPr="003E4D8B" w:rsidRDefault="003E4D8B" w:rsidP="002940FB">
            <w:pPr>
              <w:spacing w:after="0" w:line="240" w:lineRule="auto"/>
              <w:jc w:val="both"/>
              <w:rPr>
                <w:rFonts w:ascii="Verdana" w:hAnsi="Verdana"/>
                <w:sz w:val="24"/>
                <w:szCs w:val="24"/>
              </w:rPr>
            </w:pPr>
            <w:r w:rsidRPr="003E4D8B">
              <w:rPr>
                <w:rFonts w:ascii="Verdana" w:hAnsi="Verdana"/>
                <w:sz w:val="24"/>
                <w:szCs w:val="24"/>
              </w:rPr>
              <w:t xml:space="preserve">2.2. Kai planuojama, kad dėl numatomo įgyvendinti infrastruktūros projekto bus išmetama daugiau kaip 20 000 t/CO2e per metus, rengiant infrastruktūros projektą turi būti užtikrinamas projekto </w:t>
            </w:r>
            <w:proofErr w:type="spellStart"/>
            <w:r w:rsidRPr="003E4D8B">
              <w:rPr>
                <w:rFonts w:ascii="Verdana" w:hAnsi="Verdana"/>
                <w:sz w:val="24"/>
                <w:szCs w:val="24"/>
              </w:rPr>
              <w:t>klimatosauginis</w:t>
            </w:r>
            <w:proofErr w:type="spellEnd"/>
            <w:r w:rsidRPr="003E4D8B">
              <w:rPr>
                <w:rFonts w:ascii="Verdana" w:hAnsi="Verdana"/>
                <w:sz w:val="24"/>
                <w:szCs w:val="24"/>
              </w:rPr>
              <w:t xml:space="preserve"> tinkamumas, laikantis Europos Komisijos pranešimu 2021/C 373/01 pateiktų 2021–2027 m. infrastruktūros </w:t>
            </w:r>
            <w:proofErr w:type="spellStart"/>
            <w:r w:rsidRPr="003E4D8B">
              <w:rPr>
                <w:rFonts w:ascii="Verdana" w:hAnsi="Verdana"/>
                <w:sz w:val="24"/>
                <w:szCs w:val="24"/>
              </w:rPr>
              <w:t>klimatosauginio</w:t>
            </w:r>
            <w:proofErr w:type="spellEnd"/>
            <w:r w:rsidRPr="003E4D8B">
              <w:rPr>
                <w:rFonts w:ascii="Verdana" w:hAnsi="Verdana"/>
                <w:sz w:val="24"/>
                <w:szCs w:val="24"/>
              </w:rPr>
              <w:t xml:space="preserve"> tinkamumo užtikrinimo techninių gairių, kurios skelbiamos internete https://eur-lex.europa.eu/legal-</w:t>
            </w:r>
            <w:r w:rsidRPr="003E4D8B">
              <w:rPr>
                <w:rFonts w:ascii="Verdana" w:hAnsi="Verdana"/>
                <w:sz w:val="24"/>
                <w:szCs w:val="24"/>
              </w:rPr>
              <w:lastRenderedPageBreak/>
              <w:t xml:space="preserve">content/LT/TXT/HTML/?uri=OJ:C:2021:373:FULL&amp;from=EN#ntr9-C_2021373LT.01000101-E0009 (toliau – techninės gairės). Atitikti </w:t>
            </w:r>
            <w:proofErr w:type="spellStart"/>
            <w:r w:rsidRPr="003E4D8B">
              <w:rPr>
                <w:rFonts w:ascii="Verdana" w:hAnsi="Verdana"/>
                <w:sz w:val="24"/>
                <w:szCs w:val="24"/>
              </w:rPr>
              <w:t>klimatosauginį</w:t>
            </w:r>
            <w:proofErr w:type="spellEnd"/>
            <w:r w:rsidRPr="003E4D8B">
              <w:rPr>
                <w:rFonts w:ascii="Verdana" w:hAnsi="Verdana"/>
                <w:sz w:val="24"/>
                <w:szCs w:val="24"/>
              </w:rPr>
              <w:t xml:space="preserve"> tinkamumą, vadovaujantis techninėmis gairėmis, turi ir infrastruktūros projektai, parengti iki techninių gairių paskelbimo (t. y. iki 2021 m. rugsėjo 16 d.) tais atvejais, kai buvo atliktas infrastruktūros projekto PAV ir ne vėliau kaip iki 2021 m. pabaigos gautas sutikimas dėl planuojamos veiklos).</w:t>
            </w:r>
          </w:p>
          <w:p w14:paraId="050B41A9" w14:textId="77777777" w:rsidR="003E4D8B" w:rsidRPr="003E4D8B" w:rsidRDefault="003E4D8B" w:rsidP="002940FB">
            <w:pPr>
              <w:spacing w:after="0" w:line="240" w:lineRule="auto"/>
              <w:jc w:val="both"/>
              <w:rPr>
                <w:rFonts w:ascii="Verdana" w:eastAsia="Calibri" w:hAnsi="Verdana"/>
                <w:bCs/>
                <w:sz w:val="24"/>
                <w:szCs w:val="24"/>
              </w:rPr>
            </w:pPr>
          </w:p>
        </w:tc>
      </w:tr>
      <w:tr w:rsidR="003E4D8B" w:rsidRPr="003E4D8B" w14:paraId="7272CEC0" w14:textId="77777777" w:rsidTr="002940FB">
        <w:trPr>
          <w:jc w:val="center"/>
        </w:trPr>
        <w:tc>
          <w:tcPr>
            <w:tcW w:w="1679" w:type="dxa"/>
          </w:tcPr>
          <w:p w14:paraId="5E347086" w14:textId="77777777" w:rsidR="003E4D8B" w:rsidRPr="003E4D8B" w:rsidRDefault="003E4D8B" w:rsidP="002940FB">
            <w:pPr>
              <w:tabs>
                <w:tab w:val="left" w:pos="289"/>
              </w:tabs>
              <w:spacing w:after="0" w:line="240" w:lineRule="auto"/>
              <w:ind w:firstLine="5"/>
              <w:jc w:val="both"/>
              <w:rPr>
                <w:rFonts w:ascii="Verdana" w:eastAsia="Calibri" w:hAnsi="Verdana"/>
                <w:sz w:val="24"/>
                <w:szCs w:val="24"/>
              </w:rPr>
            </w:pPr>
            <w:r w:rsidRPr="003E4D8B">
              <w:rPr>
                <w:rFonts w:ascii="Verdana" w:eastAsia="Calibri" w:hAnsi="Verdana"/>
                <w:sz w:val="24"/>
                <w:szCs w:val="24"/>
              </w:rPr>
              <w:lastRenderedPageBreak/>
              <w:t>3. Tausus vandens ir jūrų išteklių naudojimas ir apsauga</w:t>
            </w:r>
          </w:p>
        </w:tc>
        <w:tc>
          <w:tcPr>
            <w:tcW w:w="7818" w:type="dxa"/>
          </w:tcPr>
          <w:p w14:paraId="1CCD9C59" w14:textId="77777777" w:rsidR="003E4D8B" w:rsidRPr="003E4D8B" w:rsidRDefault="003E4D8B" w:rsidP="002940FB">
            <w:pPr>
              <w:spacing w:after="0" w:line="240" w:lineRule="auto"/>
              <w:jc w:val="both"/>
              <w:rPr>
                <w:rFonts w:ascii="Verdana" w:eastAsia="Calibri" w:hAnsi="Verdana"/>
                <w:bCs/>
                <w:sz w:val="24"/>
                <w:szCs w:val="24"/>
              </w:rPr>
            </w:pPr>
            <w:r w:rsidRPr="003E4D8B">
              <w:rPr>
                <w:rFonts w:ascii="Verdana" w:eastAsia="Calibri" w:hAnsi="Verdana"/>
                <w:bCs/>
                <w:sz w:val="24"/>
                <w:szCs w:val="24"/>
              </w:rPr>
              <w:t>3.1. Įgyvendinant projekto veiklas turi būti laikomasi Reglamento 2021/2139 I priede atitinkamoms veikloms nustatytų reikalavimų dėl tausaus vandens naudojimo ir apsaugos (pvz., kai investuojama į naujų pastatų statybą, turi būti laikomasi Reglamento 2021/2139 I priedo 7.1 papunktyje nustatytų reikalavimų).</w:t>
            </w:r>
          </w:p>
          <w:p w14:paraId="16F3C9BE" w14:textId="77777777" w:rsidR="003E4D8B" w:rsidRPr="003E4D8B" w:rsidRDefault="003E4D8B" w:rsidP="002940FB">
            <w:pPr>
              <w:spacing w:after="0" w:line="240" w:lineRule="auto"/>
              <w:jc w:val="both"/>
              <w:rPr>
                <w:rFonts w:ascii="Verdana" w:eastAsia="Calibri" w:hAnsi="Verdana"/>
                <w:bCs/>
                <w:sz w:val="24"/>
                <w:szCs w:val="24"/>
              </w:rPr>
            </w:pPr>
            <w:r w:rsidRPr="003E4D8B">
              <w:rPr>
                <w:rFonts w:ascii="Verdana" w:eastAsia="Calibri" w:hAnsi="Verdana"/>
                <w:bCs/>
                <w:sz w:val="24"/>
                <w:szCs w:val="24"/>
              </w:rPr>
              <w:t>3.2. Įgyvendinant projekto veiklas turi būti laikomasi ir šių reikalavimų:</w:t>
            </w:r>
          </w:p>
          <w:p w14:paraId="218F3579" w14:textId="77777777" w:rsidR="003E4D8B" w:rsidRPr="003E4D8B" w:rsidRDefault="003E4D8B" w:rsidP="002940FB">
            <w:pPr>
              <w:spacing w:after="0" w:line="240" w:lineRule="auto"/>
              <w:jc w:val="both"/>
              <w:rPr>
                <w:rFonts w:ascii="Verdana" w:eastAsia="Calibri" w:hAnsi="Verdana"/>
                <w:bCs/>
                <w:sz w:val="24"/>
                <w:szCs w:val="24"/>
              </w:rPr>
            </w:pPr>
            <w:r w:rsidRPr="003E4D8B">
              <w:rPr>
                <w:rFonts w:ascii="Verdana" w:eastAsia="Calibri" w:hAnsi="Verdana"/>
                <w:bCs/>
                <w:sz w:val="24"/>
                <w:szCs w:val="24"/>
              </w:rPr>
              <w:t>3.2.1. kai taikoma pagal Planuojamos ūkinės veiklos vertinimo įstatymą, turi būti atliktas PAV, apimantis poveikio vandens ištekliams vertinimą, ir (ar) atranka dėl poveikio aplinkai vertinimo ir užtikrinama, kad bus įvykdytos sprendime dėl PAV nustatytos planuojamos ūkinės veiklos įgyvendinimo sąlygos, susijusios su atliktu PAV;</w:t>
            </w:r>
          </w:p>
          <w:p w14:paraId="0E032652" w14:textId="77777777" w:rsidR="003E4D8B" w:rsidRPr="003E4D8B" w:rsidRDefault="003E4D8B" w:rsidP="002940FB">
            <w:pPr>
              <w:spacing w:after="0" w:line="240" w:lineRule="auto"/>
              <w:jc w:val="both"/>
              <w:rPr>
                <w:rFonts w:ascii="Verdana" w:eastAsia="Calibri" w:hAnsi="Verdana"/>
                <w:bCs/>
                <w:sz w:val="24"/>
                <w:szCs w:val="24"/>
              </w:rPr>
            </w:pPr>
            <w:r w:rsidRPr="003E4D8B">
              <w:rPr>
                <w:rFonts w:ascii="Verdana" w:eastAsia="Calibri" w:hAnsi="Verdana"/>
                <w:bCs/>
                <w:sz w:val="24"/>
                <w:szCs w:val="24"/>
              </w:rPr>
              <w:t>3.2.2. kai atliekami statybos darbai, statybvietėje turi būti vykdomos priemonės, užtikrinančios racionalų vandens naudojimą, vandens apsaugą nuo teršimo;</w:t>
            </w:r>
          </w:p>
          <w:p w14:paraId="29E1D695" w14:textId="77777777" w:rsidR="003E4D8B" w:rsidRPr="003E4D8B" w:rsidRDefault="003E4D8B" w:rsidP="002940FB">
            <w:pPr>
              <w:spacing w:after="0" w:line="240" w:lineRule="auto"/>
              <w:jc w:val="both"/>
              <w:rPr>
                <w:rFonts w:ascii="Verdana" w:eastAsia="Calibri" w:hAnsi="Verdana"/>
                <w:bCs/>
                <w:sz w:val="24"/>
                <w:szCs w:val="24"/>
              </w:rPr>
            </w:pPr>
            <w:r w:rsidRPr="003E4D8B">
              <w:rPr>
                <w:rFonts w:ascii="Verdana" w:eastAsia="Calibri" w:hAnsi="Verdana"/>
                <w:bCs/>
                <w:sz w:val="24"/>
                <w:szCs w:val="24"/>
              </w:rPr>
              <w:t>3.2.3. įsigyjami vandens prietaisai turi atitikti minimalius aplinkos apsaugos kriterijus, nustatytus atitinkamiems vandens prietaisams Aplinkos apsaugos kriterijų taikymo vykdant žaliuosius pirkimus tvarkos aprašo, patvirtinto aplinkos ministro 2011 m. birželio 28 d. įsakymu Nr. D1-508 „Dėl Aplinkos apsaugos kriterijų taikymo, vykdant žaliuosius pirkimus, tvarkos aprašo patvirtinimo“, 2 priede.</w:t>
            </w:r>
          </w:p>
          <w:p w14:paraId="57F1CDD8" w14:textId="77777777" w:rsidR="003E4D8B" w:rsidRPr="003E4D8B" w:rsidRDefault="003E4D8B" w:rsidP="002940FB">
            <w:pPr>
              <w:spacing w:after="0" w:line="240" w:lineRule="auto"/>
              <w:jc w:val="both"/>
              <w:rPr>
                <w:rFonts w:ascii="Verdana" w:eastAsia="Calibri" w:hAnsi="Verdana"/>
                <w:b/>
                <w:sz w:val="24"/>
                <w:szCs w:val="24"/>
              </w:rPr>
            </w:pPr>
          </w:p>
        </w:tc>
      </w:tr>
      <w:tr w:rsidR="003E4D8B" w:rsidRPr="003E4D8B" w14:paraId="5D7606AA" w14:textId="77777777" w:rsidTr="002940FB">
        <w:trPr>
          <w:jc w:val="center"/>
        </w:trPr>
        <w:tc>
          <w:tcPr>
            <w:tcW w:w="1679" w:type="dxa"/>
          </w:tcPr>
          <w:p w14:paraId="3972A28C" w14:textId="77777777" w:rsidR="003E4D8B" w:rsidRPr="003E4D8B" w:rsidRDefault="003E4D8B" w:rsidP="002940FB">
            <w:pPr>
              <w:tabs>
                <w:tab w:val="left" w:pos="289"/>
              </w:tabs>
              <w:spacing w:after="0" w:line="240" w:lineRule="auto"/>
              <w:ind w:firstLine="5"/>
              <w:jc w:val="both"/>
              <w:rPr>
                <w:rFonts w:ascii="Verdana" w:eastAsia="Calibri" w:hAnsi="Verdana"/>
                <w:sz w:val="24"/>
                <w:szCs w:val="24"/>
              </w:rPr>
            </w:pPr>
            <w:r w:rsidRPr="003E4D8B">
              <w:rPr>
                <w:rFonts w:ascii="Verdana" w:eastAsia="Calibri" w:hAnsi="Verdana"/>
                <w:sz w:val="24"/>
                <w:szCs w:val="24"/>
              </w:rPr>
              <w:t>4. Perėjimas prie žiedinės ekonomikos, įskaitant atliekų prevenciją ir perdirbimą</w:t>
            </w:r>
          </w:p>
        </w:tc>
        <w:tc>
          <w:tcPr>
            <w:tcW w:w="7818" w:type="dxa"/>
          </w:tcPr>
          <w:p w14:paraId="7DD2A601" w14:textId="77777777" w:rsidR="003E4D8B" w:rsidRPr="003E4D8B" w:rsidRDefault="003E4D8B" w:rsidP="002940FB">
            <w:pPr>
              <w:spacing w:after="0" w:line="240" w:lineRule="auto"/>
              <w:jc w:val="both"/>
              <w:rPr>
                <w:rFonts w:ascii="Verdana" w:hAnsi="Verdana"/>
                <w:sz w:val="24"/>
                <w:szCs w:val="24"/>
              </w:rPr>
            </w:pPr>
            <w:r w:rsidRPr="003E4D8B">
              <w:rPr>
                <w:rFonts w:ascii="Verdana" w:hAnsi="Verdana"/>
                <w:sz w:val="24"/>
                <w:szCs w:val="24"/>
              </w:rPr>
              <w:t>4.1. Įgyvendinant projekto veiklas turi būti laikomasi Reglamento 2021/2139 I priede atitinkamoms veikloms nustatytų reikalavimų dėl perėjimo prie žiedinės ekonomikos, pvz., investuojant į naujų pastatų statybą, turi būti laikomasi šių Reglamento 2021/2139 I priedo 7.1 papunktyje nustatytų reikalavimų dėl perėjimo prie žiedinės ekonomikos:</w:t>
            </w:r>
          </w:p>
          <w:p w14:paraId="153769B4" w14:textId="77777777" w:rsidR="003E4D8B" w:rsidRPr="003E4D8B" w:rsidRDefault="003E4D8B" w:rsidP="002940FB">
            <w:pPr>
              <w:spacing w:after="0" w:line="240" w:lineRule="auto"/>
              <w:jc w:val="both"/>
              <w:rPr>
                <w:rFonts w:ascii="Verdana" w:hAnsi="Verdana"/>
                <w:sz w:val="24"/>
                <w:szCs w:val="24"/>
              </w:rPr>
            </w:pPr>
            <w:r w:rsidRPr="003E4D8B">
              <w:rPr>
                <w:rFonts w:ascii="Verdana" w:hAnsi="Verdana"/>
                <w:sz w:val="24"/>
                <w:szCs w:val="24"/>
              </w:rPr>
              <w:t>4.1.1. mažiausiai 70 % (pagal svorį) nepavojingų statybinių ir griovimo atliekų (išskyrus žemę ir akmenis) turi būti parengtos pakartotiniam naudojimui, perdirbimui ir (ar) kitoms medžiagų panaudojimo galimybėms, laikantis atliekų hierarchijos ir Europos Sąjungos statybos ir griovimo atliekų tvarkymo protokolo (2021 m. birželio 4 d. versija): https://ec.europa.eu/growth/content/eu-construction-and-demolition-waste-protocol-0_en) (toliau – Europos Sąjungos statybos ir griovimo atliekų tvarkymo protokolas);</w:t>
            </w:r>
          </w:p>
          <w:p w14:paraId="09DEE341" w14:textId="77777777" w:rsidR="003E4D8B" w:rsidRPr="003E4D8B" w:rsidRDefault="003E4D8B" w:rsidP="002940FB">
            <w:pPr>
              <w:spacing w:after="0" w:line="240" w:lineRule="auto"/>
              <w:jc w:val="both"/>
              <w:rPr>
                <w:rFonts w:ascii="Verdana" w:hAnsi="Verdana"/>
                <w:sz w:val="24"/>
                <w:szCs w:val="24"/>
              </w:rPr>
            </w:pPr>
            <w:r w:rsidRPr="003E4D8B">
              <w:rPr>
                <w:rFonts w:ascii="Verdana" w:hAnsi="Verdana"/>
                <w:sz w:val="24"/>
                <w:szCs w:val="24"/>
              </w:rPr>
              <w:lastRenderedPageBreak/>
              <w:t>4.1.2. turi būti ribojamas atliekų susidarymas su statyba ir griovimu susijusiuose procesuose, laikantis Europos Sąjungos statybos ir griovimo atliekų tvarkymo protokolo ir atsižvelgiant į geriausius prieinamus gamybos būdus bei griaunant selektyviai, kad būtų galima pašalinti ir saugiai tvarkyti pavojingąsias medžiagas, taip pat palengvinti pakartotinį naudojimą ir aukštos kokybės perdirbimą selektyviai šalinant medžiagas ir naudojant turimas statybos ir griovimo atliekų rūšiavimo sistemas;</w:t>
            </w:r>
          </w:p>
          <w:p w14:paraId="46C0E551" w14:textId="77777777" w:rsidR="003E4D8B" w:rsidRPr="003E4D8B" w:rsidRDefault="003E4D8B" w:rsidP="002940FB">
            <w:pPr>
              <w:spacing w:after="0" w:line="240" w:lineRule="auto"/>
              <w:jc w:val="both"/>
              <w:rPr>
                <w:rFonts w:ascii="Verdana" w:hAnsi="Verdana"/>
                <w:sz w:val="24"/>
                <w:szCs w:val="24"/>
              </w:rPr>
            </w:pPr>
            <w:r w:rsidRPr="003E4D8B">
              <w:rPr>
                <w:rFonts w:ascii="Verdana" w:hAnsi="Verdana"/>
                <w:sz w:val="24"/>
                <w:szCs w:val="24"/>
              </w:rPr>
              <w:t>4.1.3. kitų Reglamento 2021/2139 I priedo 7.1 papunktyje nustatytų reikalavimų.</w:t>
            </w:r>
          </w:p>
          <w:p w14:paraId="712A30CF" w14:textId="77777777" w:rsidR="003E4D8B" w:rsidRPr="003E4D8B" w:rsidRDefault="003E4D8B" w:rsidP="002940FB">
            <w:pPr>
              <w:spacing w:after="0" w:line="240" w:lineRule="auto"/>
              <w:jc w:val="both"/>
              <w:rPr>
                <w:rFonts w:ascii="Verdana" w:hAnsi="Verdana"/>
                <w:sz w:val="24"/>
                <w:szCs w:val="24"/>
              </w:rPr>
            </w:pPr>
            <w:r w:rsidRPr="003E4D8B">
              <w:rPr>
                <w:rFonts w:ascii="Verdana" w:hAnsi="Verdana"/>
                <w:sz w:val="24"/>
                <w:szCs w:val="24"/>
              </w:rPr>
              <w:t>4.2. Įgyvendinant projekto veiklas turi būti laikomasi ir šių reikalavimų:</w:t>
            </w:r>
          </w:p>
          <w:p w14:paraId="7A9F73FA" w14:textId="77777777" w:rsidR="003E4D8B" w:rsidRPr="003E4D8B" w:rsidRDefault="003E4D8B" w:rsidP="002940FB">
            <w:pPr>
              <w:spacing w:after="0" w:line="240" w:lineRule="auto"/>
              <w:jc w:val="both"/>
              <w:rPr>
                <w:rFonts w:ascii="Verdana" w:hAnsi="Verdana"/>
                <w:sz w:val="24"/>
                <w:szCs w:val="24"/>
              </w:rPr>
            </w:pPr>
            <w:r w:rsidRPr="003E4D8B">
              <w:rPr>
                <w:rFonts w:ascii="Verdana" w:hAnsi="Verdana"/>
                <w:sz w:val="24"/>
                <w:szCs w:val="24"/>
              </w:rPr>
              <w:t>4.2.1. laikomasi šios lentelės pirmosios eilutės 1.2.4 ir 1.2.5 papunkčiuose nurodytų reikalavimų;</w:t>
            </w:r>
          </w:p>
          <w:p w14:paraId="5231248C" w14:textId="77777777" w:rsidR="003E4D8B" w:rsidRPr="003E4D8B" w:rsidRDefault="003E4D8B" w:rsidP="002940FB">
            <w:pPr>
              <w:spacing w:after="0" w:line="240" w:lineRule="auto"/>
              <w:jc w:val="both"/>
              <w:rPr>
                <w:rFonts w:ascii="Verdana" w:hAnsi="Verdana"/>
                <w:sz w:val="24"/>
                <w:szCs w:val="24"/>
              </w:rPr>
            </w:pPr>
            <w:r w:rsidRPr="003E4D8B">
              <w:rPr>
                <w:rFonts w:ascii="Verdana" w:hAnsi="Verdana"/>
                <w:sz w:val="24"/>
                <w:szCs w:val="24"/>
              </w:rPr>
              <w:t>4.2.2. statybvietėje atliekos turi būti išrūšiuojamos, laikinai laikomos ir tvarkomos laikantis Statybinių atliekų tvarkymo taisyklėse, patvirtintose Lietuvos Respublikos aplinkos ministro 2006 m. gruodžio 29 d. įsakymu D1-637 „Dėl Statybinių atliekų tvarkymo taisyklių patvirtinimo“ (toliau – Statybinių atliekų tvarkymo taisyklės), nustatytų reikalavimų;</w:t>
            </w:r>
          </w:p>
          <w:p w14:paraId="4253E9E6" w14:textId="77777777" w:rsidR="003E4D8B" w:rsidRPr="003E4D8B" w:rsidRDefault="003E4D8B" w:rsidP="002940FB">
            <w:pPr>
              <w:spacing w:after="0" w:line="240" w:lineRule="auto"/>
              <w:jc w:val="both"/>
              <w:rPr>
                <w:rFonts w:ascii="Verdana" w:hAnsi="Verdana"/>
                <w:sz w:val="24"/>
                <w:szCs w:val="24"/>
              </w:rPr>
            </w:pPr>
            <w:r w:rsidRPr="003E4D8B">
              <w:rPr>
                <w:rFonts w:ascii="Verdana" w:hAnsi="Verdana"/>
                <w:sz w:val="24"/>
                <w:szCs w:val="24"/>
              </w:rPr>
              <w:t xml:space="preserve">4.2.3. statybinės atliekos turi būti tvarkomos laikantis Atliekų tvarkymo įstatymo 4 straipsnio 1 ir 2 dalių, Atliekų tvarkymo taisyklių, patvirtintų Lietuvos Respublikos aplinkos ministro 1999 m. liepos 14 d. įsakymu Nr. 217 „Dėl Atliekų tvarkymo taisyklių patvirtinimo“, Statybinių atliekų tvarkymo taisyklių nuostatų ir vadovaujantis Europos Sąjungos statybos ir griovimo atliekų tvarkymo protokolu, o apdorojant atliekas turi būti vadovaujamasi Europos Komisijos informaciniu dokumentu apie atliekų apdorojimo geriausius prieinamus gamybos būdus (GPGB), kuris skelbiamas interneto svetainėje </w:t>
            </w:r>
            <w:hyperlink r:id="rId4" w:history="1">
              <w:r w:rsidRPr="003E4D8B">
                <w:rPr>
                  <w:rStyle w:val="Hipersaitas"/>
                  <w:rFonts w:ascii="Verdana" w:hAnsi="Verdana"/>
                  <w:sz w:val="24"/>
                  <w:szCs w:val="24"/>
                </w:rPr>
                <w:t>http://193.219.53.9/aaa/Anotacijos%20%28LT%29/atlieku%20apdorojimui.pdf</w:t>
              </w:r>
            </w:hyperlink>
            <w:r w:rsidRPr="003E4D8B">
              <w:rPr>
                <w:rFonts w:ascii="Verdana" w:hAnsi="Verdana"/>
                <w:sz w:val="24"/>
                <w:szCs w:val="24"/>
              </w:rPr>
              <w:t>;</w:t>
            </w:r>
          </w:p>
          <w:p w14:paraId="2840EAA2" w14:textId="77777777" w:rsidR="003E4D8B" w:rsidRPr="003E4D8B" w:rsidRDefault="003E4D8B" w:rsidP="002940FB">
            <w:pPr>
              <w:spacing w:after="0" w:line="240" w:lineRule="auto"/>
              <w:jc w:val="both"/>
              <w:rPr>
                <w:rFonts w:ascii="Verdana" w:hAnsi="Verdana"/>
                <w:sz w:val="24"/>
                <w:szCs w:val="24"/>
              </w:rPr>
            </w:pPr>
            <w:r w:rsidRPr="003E4D8B">
              <w:rPr>
                <w:rFonts w:ascii="Verdana" w:hAnsi="Verdana"/>
                <w:sz w:val="24"/>
                <w:szCs w:val="24"/>
              </w:rPr>
              <w:t xml:space="preserve">4.2.4. pasibaigus elektros ir elektroninės įrangos eksploatavimo laikui, ji turi būti perduodama atliekų tvarkytojui pagal Atliekų įstatymo ir Atliekų tvarkymo taisyklių reikalavimus, o jei projekto vykdytojas (partneris) pagal Atliekų tvarkymo įstatymą yra tokios įrangos atliekų tvarkytojas, jis turi šią įrangą saugiai paruošti pakartotiniam naudojimui, atliekų naudojimui ar perdirbimui arba tinkamai apdoroti pagal Valstybinio atliekų prevencijos ir tvarkymo 2021–2027 metų planą, patvirtintą Lietuvos Respublikos Vyriausybės 2002 m. balandžio 12 d. nutarimu Nr. 519 „Dėl Valstybinio atliekų prevencijos ir tvarkymo 2021–2027 metų plano patvirtinimo“, Elektros ir elektroninės įrangos bei jos atliekų tvarkymo taisykles, patvirtintas Lietuvos Respublikos aplinkos ministro 2004 m. rugsėjo 10 d. įsakymu Nr. D1-481 „Dėl Elektros ir elektroninės įrangos bei jos atliekų tvarkymo taisyklių patvirtinimo“, užtikrindamas maksimalų elektros ir elektroninės įrangos perdirbimą pasibaigus jos eksploatavimo laikui, kaip tai nustatyta Atliekų tvarkymo įstatyme ir Lietuvos Respublikos </w:t>
            </w:r>
            <w:r w:rsidRPr="003E4D8B">
              <w:rPr>
                <w:rFonts w:ascii="Verdana" w:hAnsi="Verdana"/>
                <w:sz w:val="24"/>
                <w:szCs w:val="24"/>
              </w:rPr>
              <w:lastRenderedPageBreak/>
              <w:t>Vyriausybės 2006 m. sausio 19 d. nutarime Nr. 61 „Dėl Banko garantijos, laidavimo sutarties bei kitų sutarčių, įrodančių, kad elektros ir elektroninės įrangos atliekų tvarkymas bus finansuojamas, sudarymo ir vykdymo, lėšų, gautų pagal šias sutartis, kaupimo, naudojimo ir grąžinimo taisyklių ir elektros ir elektroninės įrangos atliekų tvarkymo užduočių patvirtinimo“.</w:t>
            </w:r>
          </w:p>
        </w:tc>
      </w:tr>
      <w:tr w:rsidR="003E4D8B" w:rsidRPr="003E4D8B" w14:paraId="76F62548" w14:textId="77777777" w:rsidTr="002940FB">
        <w:trPr>
          <w:jc w:val="center"/>
        </w:trPr>
        <w:tc>
          <w:tcPr>
            <w:tcW w:w="1679" w:type="dxa"/>
          </w:tcPr>
          <w:p w14:paraId="13EAA258" w14:textId="77777777" w:rsidR="003E4D8B" w:rsidRPr="003E4D8B" w:rsidRDefault="003E4D8B" w:rsidP="002940FB">
            <w:pPr>
              <w:tabs>
                <w:tab w:val="left" w:pos="289"/>
              </w:tabs>
              <w:spacing w:after="0" w:line="240" w:lineRule="auto"/>
              <w:ind w:firstLine="5"/>
              <w:jc w:val="both"/>
              <w:rPr>
                <w:rFonts w:ascii="Verdana" w:eastAsia="Calibri" w:hAnsi="Verdana"/>
                <w:sz w:val="24"/>
                <w:szCs w:val="24"/>
              </w:rPr>
            </w:pPr>
            <w:r w:rsidRPr="003E4D8B">
              <w:rPr>
                <w:rFonts w:ascii="Verdana" w:eastAsia="Calibri" w:hAnsi="Verdana"/>
                <w:sz w:val="24"/>
                <w:szCs w:val="24"/>
              </w:rPr>
              <w:lastRenderedPageBreak/>
              <w:t>5. Oro, vandens ar žemės taršos prevencija ir kontrolė</w:t>
            </w:r>
          </w:p>
        </w:tc>
        <w:tc>
          <w:tcPr>
            <w:tcW w:w="7818" w:type="dxa"/>
          </w:tcPr>
          <w:p w14:paraId="2B62C3BD" w14:textId="77777777" w:rsidR="003E4D8B" w:rsidRPr="003E4D8B" w:rsidRDefault="003E4D8B" w:rsidP="002940FB">
            <w:pPr>
              <w:spacing w:after="0" w:line="240" w:lineRule="auto"/>
              <w:jc w:val="both"/>
              <w:rPr>
                <w:rFonts w:ascii="Verdana" w:hAnsi="Verdana"/>
                <w:sz w:val="24"/>
                <w:szCs w:val="24"/>
              </w:rPr>
            </w:pPr>
            <w:r w:rsidRPr="003E4D8B">
              <w:rPr>
                <w:rFonts w:ascii="Verdana" w:hAnsi="Verdana"/>
                <w:sz w:val="24"/>
                <w:szCs w:val="24"/>
              </w:rPr>
              <w:t>5.1. Įgyvendinant projekto veiklas turi būti laikomasi Reglamento 2021/2139 I priede atitinkamoms veikloms nustatytų reikalavimų dėl taršos prevencijos ir kontrolės, pvz., investuojant į naujų pastatų statybą, turi būti laikomasi šių Reglamento 2021/2139 I priedo 7.1 papunktyje nustatytų reikalavimų dėl taršos prevencijos ir kontrolės:</w:t>
            </w:r>
          </w:p>
          <w:p w14:paraId="06FC053A" w14:textId="77777777" w:rsidR="003E4D8B" w:rsidRPr="003E4D8B" w:rsidRDefault="003E4D8B" w:rsidP="002940FB">
            <w:pPr>
              <w:spacing w:after="0" w:line="240" w:lineRule="auto"/>
              <w:jc w:val="both"/>
              <w:rPr>
                <w:rFonts w:ascii="Verdana" w:hAnsi="Verdana"/>
                <w:sz w:val="24"/>
                <w:szCs w:val="24"/>
              </w:rPr>
            </w:pPr>
            <w:r w:rsidRPr="003E4D8B">
              <w:rPr>
                <w:rFonts w:ascii="Verdana" w:hAnsi="Verdana"/>
                <w:sz w:val="24"/>
                <w:szCs w:val="24"/>
              </w:rPr>
              <w:t>5.1.1.statyboje naudojami statybos elementai ir medžiagos, su kuriais pastate esantys žmonės gali liestis (t. y. dažai ir lakas, lubų plokštės, grindų danga, įskaitant susijusius klijus ir sandariklius vidaus izoliacijai ir vidaus paviršių apdorojimui, pvz., apsaugai nuo drėgmės ir pelėsio skirtos medžiagos), išskiria:</w:t>
            </w:r>
          </w:p>
          <w:p w14:paraId="0D613433" w14:textId="77777777" w:rsidR="003E4D8B" w:rsidRPr="003E4D8B" w:rsidRDefault="003E4D8B" w:rsidP="002940FB">
            <w:pPr>
              <w:spacing w:after="0" w:line="240" w:lineRule="auto"/>
              <w:jc w:val="both"/>
              <w:rPr>
                <w:rFonts w:ascii="Verdana" w:hAnsi="Verdana"/>
                <w:sz w:val="24"/>
                <w:szCs w:val="24"/>
              </w:rPr>
            </w:pPr>
            <w:r w:rsidRPr="003E4D8B">
              <w:rPr>
                <w:rFonts w:ascii="Verdana" w:hAnsi="Verdana"/>
                <w:sz w:val="24"/>
                <w:szCs w:val="24"/>
              </w:rPr>
              <w:t xml:space="preserve">– mažiau kaip 0,06 mg </w:t>
            </w:r>
            <w:proofErr w:type="spellStart"/>
            <w:r w:rsidRPr="003E4D8B">
              <w:rPr>
                <w:rFonts w:ascii="Verdana" w:hAnsi="Verdana"/>
                <w:sz w:val="24"/>
                <w:szCs w:val="24"/>
              </w:rPr>
              <w:t>formaldehido</w:t>
            </w:r>
            <w:proofErr w:type="spellEnd"/>
            <w:r w:rsidRPr="003E4D8B">
              <w:rPr>
                <w:rFonts w:ascii="Verdana" w:hAnsi="Verdana"/>
                <w:sz w:val="24"/>
                <w:szCs w:val="24"/>
              </w:rPr>
              <w:t xml:space="preserve"> vienam medžiagos ar elemento m</w:t>
            </w:r>
            <w:r w:rsidRPr="003E4D8B">
              <w:rPr>
                <w:rFonts w:ascii="Verdana" w:hAnsi="Verdana"/>
                <w:sz w:val="24"/>
                <w:szCs w:val="24"/>
                <w:vertAlign w:val="superscript"/>
              </w:rPr>
              <w:t>3</w:t>
            </w:r>
            <w:r w:rsidRPr="003E4D8B">
              <w:rPr>
                <w:rFonts w:ascii="Verdana" w:hAnsi="Verdana"/>
                <w:sz w:val="24"/>
                <w:szCs w:val="24"/>
              </w:rPr>
              <w:t>, atliekant bandymą pagal sąlygas, nurodytas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XVII priede;</w:t>
            </w:r>
          </w:p>
          <w:p w14:paraId="651C4FDB" w14:textId="77777777" w:rsidR="003E4D8B" w:rsidRPr="003E4D8B" w:rsidRDefault="003E4D8B" w:rsidP="002940FB">
            <w:pPr>
              <w:spacing w:after="0" w:line="240" w:lineRule="auto"/>
              <w:jc w:val="both"/>
              <w:rPr>
                <w:rFonts w:ascii="Verdana" w:hAnsi="Verdana"/>
                <w:sz w:val="24"/>
                <w:szCs w:val="24"/>
              </w:rPr>
            </w:pPr>
            <w:r w:rsidRPr="003E4D8B">
              <w:rPr>
                <w:rFonts w:ascii="Verdana" w:hAnsi="Verdana"/>
                <w:sz w:val="24"/>
                <w:szCs w:val="24"/>
              </w:rPr>
              <w:t>– ir mažiau kaip 0,001 mg kitų 1A ir 1B kategorijų kancerogeninių lakiųjų organinių junginių, atliekant bandymą pagal CEN/EN 16516: 2013 m. „Statybos produktai. Pavojingų medžiagų išleidimo vertinimas“ arba ISO 16000-3:2011 standartą „Išsiskyrimo į patalpų orą nustatymas“;</w:t>
            </w:r>
          </w:p>
          <w:p w14:paraId="0A3081C4" w14:textId="77777777" w:rsidR="003E4D8B" w:rsidRPr="003E4D8B" w:rsidRDefault="003E4D8B" w:rsidP="002940FB">
            <w:pPr>
              <w:spacing w:after="0" w:line="240" w:lineRule="auto"/>
              <w:jc w:val="both"/>
              <w:rPr>
                <w:rFonts w:ascii="Verdana" w:hAnsi="Verdana"/>
                <w:sz w:val="24"/>
                <w:szCs w:val="24"/>
              </w:rPr>
            </w:pPr>
            <w:r w:rsidRPr="003E4D8B">
              <w:rPr>
                <w:rFonts w:ascii="Verdana" w:hAnsi="Verdana"/>
                <w:sz w:val="24"/>
                <w:szCs w:val="24"/>
              </w:rPr>
              <w:t>5.1.2. turi būti imamasi priemonių mažinti keliamą triukšmą ir dulkių bei išmetamųjų teršalų kiekį ;</w:t>
            </w:r>
          </w:p>
          <w:p w14:paraId="01EF03B0" w14:textId="77777777" w:rsidR="003E4D8B" w:rsidRPr="003E4D8B" w:rsidRDefault="003E4D8B" w:rsidP="002940FB">
            <w:pPr>
              <w:spacing w:after="0" w:line="240" w:lineRule="auto"/>
              <w:jc w:val="both"/>
              <w:rPr>
                <w:rFonts w:ascii="Verdana" w:hAnsi="Verdana"/>
                <w:sz w:val="24"/>
                <w:szCs w:val="24"/>
              </w:rPr>
            </w:pPr>
            <w:r w:rsidRPr="003E4D8B">
              <w:rPr>
                <w:rFonts w:ascii="Verdana" w:hAnsi="Verdana"/>
                <w:sz w:val="24"/>
                <w:szCs w:val="24"/>
              </w:rPr>
              <w:t>5.1.3. statyboje naudojami statybos elementai ir medžiagos turi atitikti Reglamento 2021/2139 I priedo C priedėlyje nustatytus kriterijus;</w:t>
            </w:r>
          </w:p>
          <w:p w14:paraId="496D355A" w14:textId="77777777" w:rsidR="003E4D8B" w:rsidRPr="003E4D8B" w:rsidRDefault="003E4D8B" w:rsidP="002940FB">
            <w:pPr>
              <w:spacing w:after="0" w:line="240" w:lineRule="auto"/>
              <w:jc w:val="both"/>
              <w:rPr>
                <w:rFonts w:ascii="Verdana" w:hAnsi="Verdana"/>
                <w:sz w:val="24"/>
                <w:szCs w:val="24"/>
              </w:rPr>
            </w:pPr>
            <w:r w:rsidRPr="003E4D8B">
              <w:rPr>
                <w:rFonts w:ascii="Verdana" w:hAnsi="Verdana"/>
                <w:sz w:val="24"/>
                <w:szCs w:val="24"/>
              </w:rPr>
              <w:t>5.1.4. turi būti laikomasi kitų Reglamento 2021/2139 I priedo 7.1 papunktyje nustatytų reikalavimų.</w:t>
            </w:r>
          </w:p>
          <w:p w14:paraId="7DA4A34C" w14:textId="77777777" w:rsidR="003E4D8B" w:rsidRPr="003E4D8B" w:rsidRDefault="003E4D8B" w:rsidP="002940FB">
            <w:pPr>
              <w:spacing w:after="0" w:line="240" w:lineRule="auto"/>
              <w:jc w:val="both"/>
              <w:rPr>
                <w:rFonts w:ascii="Verdana" w:hAnsi="Verdana"/>
                <w:sz w:val="24"/>
                <w:szCs w:val="24"/>
              </w:rPr>
            </w:pPr>
            <w:r w:rsidRPr="003E4D8B">
              <w:rPr>
                <w:rFonts w:ascii="Verdana" w:hAnsi="Verdana"/>
                <w:sz w:val="24"/>
                <w:szCs w:val="24"/>
              </w:rPr>
              <w:t>5.2. Įgyvendinant projekto veiklas taip pat turi būti laikomasi ir šių reikalavimų:</w:t>
            </w:r>
          </w:p>
          <w:p w14:paraId="30199724" w14:textId="77777777" w:rsidR="003E4D8B" w:rsidRPr="003E4D8B" w:rsidRDefault="003E4D8B" w:rsidP="002940FB">
            <w:pPr>
              <w:spacing w:after="0" w:line="240" w:lineRule="auto"/>
              <w:jc w:val="both"/>
              <w:rPr>
                <w:rFonts w:ascii="Verdana" w:hAnsi="Verdana"/>
                <w:sz w:val="24"/>
                <w:szCs w:val="24"/>
              </w:rPr>
            </w:pPr>
            <w:r w:rsidRPr="003E4D8B">
              <w:rPr>
                <w:rFonts w:ascii="Verdana" w:hAnsi="Verdana"/>
                <w:sz w:val="24"/>
                <w:szCs w:val="24"/>
              </w:rPr>
              <w:t>5.2.1. reikalavimų, nurodytų šios lentelės pirmosios eilutės 1.2.4 ir 1.2.5 papunkčiuose ir ketvirtosios eilutės 4.2.4 papunktyje;</w:t>
            </w:r>
          </w:p>
          <w:p w14:paraId="60C815B8" w14:textId="77777777" w:rsidR="003E4D8B" w:rsidRPr="003E4D8B" w:rsidRDefault="003E4D8B" w:rsidP="002940FB">
            <w:pPr>
              <w:spacing w:after="0" w:line="240" w:lineRule="auto"/>
              <w:jc w:val="both"/>
              <w:rPr>
                <w:rFonts w:ascii="Verdana" w:hAnsi="Verdana"/>
                <w:sz w:val="24"/>
                <w:szCs w:val="24"/>
              </w:rPr>
            </w:pPr>
            <w:r w:rsidRPr="003E4D8B">
              <w:rPr>
                <w:rFonts w:ascii="Verdana" w:hAnsi="Verdana"/>
                <w:sz w:val="24"/>
                <w:szCs w:val="24"/>
              </w:rPr>
              <w:t>5.2.2. statybose naudojamose statybinėse dalyse ir medžiagose negali būti naudojamas asbestas.</w:t>
            </w:r>
          </w:p>
        </w:tc>
      </w:tr>
      <w:tr w:rsidR="003E4D8B" w:rsidRPr="003E4D8B" w14:paraId="6DD2C7C2" w14:textId="77777777" w:rsidTr="002940FB">
        <w:trPr>
          <w:jc w:val="center"/>
        </w:trPr>
        <w:tc>
          <w:tcPr>
            <w:tcW w:w="1679" w:type="dxa"/>
          </w:tcPr>
          <w:p w14:paraId="5C013B82" w14:textId="77777777" w:rsidR="003E4D8B" w:rsidRPr="003E4D8B" w:rsidRDefault="003E4D8B" w:rsidP="002940FB">
            <w:pPr>
              <w:tabs>
                <w:tab w:val="left" w:pos="289"/>
              </w:tabs>
              <w:spacing w:after="0" w:line="240" w:lineRule="auto"/>
              <w:ind w:left="5" w:firstLine="5"/>
              <w:jc w:val="both"/>
              <w:rPr>
                <w:rFonts w:ascii="Verdana" w:eastAsia="Calibri" w:hAnsi="Verdana"/>
                <w:sz w:val="24"/>
                <w:szCs w:val="24"/>
              </w:rPr>
            </w:pPr>
            <w:r w:rsidRPr="003E4D8B">
              <w:rPr>
                <w:rFonts w:ascii="Verdana" w:eastAsia="Calibri" w:hAnsi="Verdana"/>
                <w:sz w:val="24"/>
                <w:szCs w:val="24"/>
              </w:rPr>
              <w:t xml:space="preserve">6. Biologinės įvairovės </w:t>
            </w:r>
            <w:r w:rsidRPr="003E4D8B">
              <w:rPr>
                <w:rFonts w:ascii="Verdana" w:eastAsia="Calibri" w:hAnsi="Verdana"/>
                <w:sz w:val="24"/>
                <w:szCs w:val="24"/>
              </w:rPr>
              <w:lastRenderedPageBreak/>
              <w:t>ir ekosistemų apsauga ir atkūrimas</w:t>
            </w:r>
          </w:p>
        </w:tc>
        <w:tc>
          <w:tcPr>
            <w:tcW w:w="7818" w:type="dxa"/>
          </w:tcPr>
          <w:p w14:paraId="3654C9E9" w14:textId="77777777" w:rsidR="003E4D8B" w:rsidRPr="003E4D8B" w:rsidRDefault="003E4D8B" w:rsidP="002940FB">
            <w:pPr>
              <w:spacing w:after="0" w:line="240" w:lineRule="auto"/>
              <w:jc w:val="both"/>
              <w:rPr>
                <w:rFonts w:ascii="Verdana" w:eastAsia="Calibri" w:hAnsi="Verdana"/>
                <w:b/>
                <w:sz w:val="24"/>
                <w:szCs w:val="24"/>
              </w:rPr>
            </w:pPr>
            <w:r w:rsidRPr="003E4D8B">
              <w:rPr>
                <w:rFonts w:ascii="Verdana" w:hAnsi="Verdana"/>
                <w:sz w:val="24"/>
                <w:szCs w:val="24"/>
              </w:rPr>
              <w:lastRenderedPageBreak/>
              <w:t>6.</w:t>
            </w:r>
            <w:r w:rsidRPr="003E4D8B">
              <w:rPr>
                <w:rFonts w:ascii="Verdana" w:hAnsi="Verdana"/>
                <w:i/>
                <w:iCs/>
                <w:sz w:val="24"/>
                <w:szCs w:val="24"/>
              </w:rPr>
              <w:t> </w:t>
            </w:r>
            <w:r w:rsidRPr="003E4D8B">
              <w:rPr>
                <w:rFonts w:ascii="Verdana" w:hAnsi="Verdana"/>
                <w:sz w:val="24"/>
                <w:szCs w:val="24"/>
              </w:rPr>
              <w:t xml:space="preserve">Įgyvendinant projekto veiklas turi būti laikomasi Reglamento 2021/2139 I priede atitinkamoms veikloms nustatytų reikalavimų dėl biologinės įvairovės ir ekosistemų apsaugos bei atkūrimo </w:t>
            </w:r>
            <w:r w:rsidRPr="003E4D8B">
              <w:rPr>
                <w:rFonts w:ascii="Verdana" w:hAnsi="Verdana"/>
                <w:sz w:val="24"/>
                <w:szCs w:val="24"/>
              </w:rPr>
              <w:lastRenderedPageBreak/>
              <w:t>ir reikalavimų, nurodytų šios lentelės pirmosios eilutės 1.2.1 papunktyje.</w:t>
            </w:r>
          </w:p>
        </w:tc>
      </w:tr>
    </w:tbl>
    <w:p w14:paraId="4A464EB1" w14:textId="77777777" w:rsidR="003E4D8B" w:rsidRPr="003E4D8B" w:rsidRDefault="003E4D8B" w:rsidP="003E4D8B">
      <w:pPr>
        <w:spacing w:after="0" w:line="240" w:lineRule="auto"/>
        <w:jc w:val="center"/>
        <w:rPr>
          <w:rFonts w:ascii="Verdana" w:eastAsia="Calibri" w:hAnsi="Verdana"/>
          <w:sz w:val="24"/>
          <w:szCs w:val="24"/>
        </w:rPr>
      </w:pPr>
    </w:p>
    <w:p w14:paraId="0645C7D4" w14:textId="77777777" w:rsidR="003E4D8B" w:rsidRPr="003E4D8B" w:rsidRDefault="003E4D8B" w:rsidP="003E4D8B">
      <w:pPr>
        <w:pStyle w:val="Sraopastraipa"/>
        <w:tabs>
          <w:tab w:val="left" w:pos="6379"/>
        </w:tabs>
        <w:spacing w:after="0" w:line="240" w:lineRule="auto"/>
        <w:ind w:hanging="1004"/>
        <w:rPr>
          <w:rFonts w:ascii="Verdana" w:hAnsi="Verdana"/>
        </w:rPr>
      </w:pPr>
      <w:r w:rsidRPr="003E4D8B">
        <w:rPr>
          <w:rFonts w:ascii="Verdana" w:hAnsi="Verdana"/>
        </w:rPr>
        <w:t>_____________________________</w:t>
      </w:r>
      <w:r w:rsidRPr="003E4D8B">
        <w:rPr>
          <w:rFonts w:ascii="Verdana" w:hAnsi="Verdana"/>
        </w:rPr>
        <w:tab/>
        <w:t>________</w:t>
      </w:r>
    </w:p>
    <w:p w14:paraId="3E0FB63B" w14:textId="77777777" w:rsidR="003E4D8B" w:rsidRPr="003E4D8B" w:rsidRDefault="003E4D8B" w:rsidP="003E4D8B">
      <w:pPr>
        <w:pStyle w:val="Sraopastraipa"/>
        <w:spacing w:after="0" w:line="240" w:lineRule="auto"/>
        <w:ind w:left="-284"/>
        <w:rPr>
          <w:rFonts w:ascii="Verdana" w:hAnsi="Verdana"/>
          <w:i/>
          <w:iCs/>
        </w:rPr>
      </w:pPr>
      <w:r w:rsidRPr="003E4D8B">
        <w:rPr>
          <w:rFonts w:ascii="Verdana" w:hAnsi="Verdana"/>
          <w:i/>
          <w:iCs/>
        </w:rPr>
        <w:t xml:space="preserve">Deklaraciją pasirašančio asmens pareigų </w:t>
      </w:r>
      <w:r w:rsidRPr="003E4D8B">
        <w:rPr>
          <w:rFonts w:ascii="Verdana" w:hAnsi="Verdana"/>
          <w:i/>
          <w:iCs/>
        </w:rPr>
        <w:tab/>
      </w:r>
      <w:r w:rsidRPr="003E4D8B">
        <w:rPr>
          <w:rFonts w:ascii="Verdana" w:hAnsi="Verdana"/>
          <w:i/>
          <w:iCs/>
        </w:rPr>
        <w:tab/>
        <w:t>parašas</w:t>
      </w:r>
    </w:p>
    <w:p w14:paraId="7BCEC155" w14:textId="77777777" w:rsidR="003E4D8B" w:rsidRPr="003E4D8B" w:rsidRDefault="003E4D8B" w:rsidP="003E4D8B">
      <w:pPr>
        <w:pStyle w:val="Sraopastraipa"/>
        <w:spacing w:after="0" w:line="240" w:lineRule="auto"/>
        <w:ind w:left="-284"/>
        <w:rPr>
          <w:rFonts w:ascii="Verdana" w:hAnsi="Verdana"/>
          <w:i/>
          <w:iCs/>
        </w:rPr>
      </w:pPr>
      <w:r w:rsidRPr="003E4D8B">
        <w:rPr>
          <w:rFonts w:ascii="Verdana" w:hAnsi="Verdana"/>
          <w:i/>
          <w:iCs/>
        </w:rPr>
        <w:t>pavadinimas, vardas, pavardė</w:t>
      </w:r>
    </w:p>
    <w:p w14:paraId="08B41FD6" w14:textId="77777777" w:rsidR="00806E77" w:rsidRPr="003E4D8B" w:rsidRDefault="00806E77">
      <w:pPr>
        <w:rPr>
          <w:rFonts w:ascii="Verdana" w:hAnsi="Verdana"/>
          <w:sz w:val="24"/>
          <w:szCs w:val="24"/>
        </w:rPr>
      </w:pPr>
    </w:p>
    <w:sectPr w:rsidR="00806E77" w:rsidRPr="003E4D8B" w:rsidSect="003E4D8B">
      <w:headerReference w:type="even" r:id="rId5"/>
      <w:headerReference w:type="default" r:id="rId6"/>
      <w:pgSz w:w="11906" w:h="16838"/>
      <w:pgMar w:top="1134"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BDA28" w14:textId="77777777" w:rsidR="003E4D8B" w:rsidRDefault="003E4D8B"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41</w:t>
    </w:r>
    <w:r>
      <w:rPr>
        <w:rStyle w:val="Puslapionumeris"/>
        <w:rFonts w:eastAsia="Arial Unicode MS"/>
      </w:rPr>
      <w:fldChar w:fldCharType="end"/>
    </w:r>
  </w:p>
  <w:p w14:paraId="1E4D092C" w14:textId="77777777" w:rsidR="003E4D8B" w:rsidRDefault="003E4D8B">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43637" w14:textId="77777777" w:rsidR="003E4D8B" w:rsidRDefault="003E4D8B" w:rsidP="006A1E28">
    <w:pPr>
      <w:pStyle w:val="Antrats"/>
      <w:jc w:val="center"/>
    </w:pPr>
    <w:r>
      <w:fldChar w:fldCharType="begin"/>
    </w:r>
    <w:r>
      <w:instrText xml:space="preserve"> PAGE   \* MERGEFORMAT </w:instrText>
    </w:r>
    <w:r>
      <w:fldChar w:fldCharType="separate"/>
    </w:r>
    <w:r>
      <w:rPr>
        <w:noProof/>
      </w:rPr>
      <w:t>8</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D8B"/>
    <w:rsid w:val="003E4D8B"/>
    <w:rsid w:val="00400503"/>
    <w:rsid w:val="00806E77"/>
    <w:rsid w:val="00E144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BCEF1"/>
  <w15:chartTrackingRefBased/>
  <w15:docId w15:val="{3345777E-6FC6-495A-BC39-E7B545E59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4D8B"/>
    <w:pPr>
      <w:spacing w:after="200" w:line="276" w:lineRule="auto"/>
    </w:pPr>
    <w:rPr>
      <w:rFonts w:eastAsiaTheme="minorEastAsia"/>
      <w:kern w:val="0"/>
      <w:sz w:val="22"/>
      <w:szCs w:val="22"/>
      <w:lang w:eastAsia="lt-LT"/>
      <w14:ligatures w14:val="none"/>
    </w:rPr>
  </w:style>
  <w:style w:type="paragraph" w:styleId="Antrat1">
    <w:name w:val="heading 1"/>
    <w:basedOn w:val="prastasis"/>
    <w:next w:val="prastasis"/>
    <w:link w:val="Antrat1Diagrama"/>
    <w:uiPriority w:val="9"/>
    <w:qFormat/>
    <w:rsid w:val="003E4D8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3E4D8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3E4D8B"/>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3E4D8B"/>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3E4D8B"/>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3E4D8B"/>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3E4D8B"/>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3E4D8B"/>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3E4D8B"/>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E4D8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E4D8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E4D8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E4D8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E4D8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E4D8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E4D8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E4D8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E4D8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E4D8B"/>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3E4D8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E4D8B"/>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3E4D8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E4D8B"/>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3E4D8B"/>
    <w:rPr>
      <w:i/>
      <w:iCs/>
      <w:color w:val="404040" w:themeColor="text1" w:themeTint="BF"/>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List not in Tabl,lp"/>
    <w:basedOn w:val="prastasis"/>
    <w:link w:val="SraopastraipaDiagrama"/>
    <w:uiPriority w:val="34"/>
    <w:qFormat/>
    <w:rsid w:val="003E4D8B"/>
    <w:pPr>
      <w:spacing w:after="160"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3E4D8B"/>
    <w:rPr>
      <w:i/>
      <w:iCs/>
      <w:color w:val="0F4761" w:themeColor="accent1" w:themeShade="BF"/>
    </w:rPr>
  </w:style>
  <w:style w:type="paragraph" w:styleId="Iskirtacitata">
    <w:name w:val="Intense Quote"/>
    <w:basedOn w:val="prastasis"/>
    <w:next w:val="prastasis"/>
    <w:link w:val="IskirtacitataDiagrama"/>
    <w:uiPriority w:val="30"/>
    <w:qFormat/>
    <w:rsid w:val="003E4D8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3E4D8B"/>
    <w:rPr>
      <w:i/>
      <w:iCs/>
      <w:color w:val="0F4761" w:themeColor="accent1" w:themeShade="BF"/>
    </w:rPr>
  </w:style>
  <w:style w:type="character" w:styleId="Rykinuoroda">
    <w:name w:val="Intense Reference"/>
    <w:basedOn w:val="Numatytasispastraiposriftas"/>
    <w:uiPriority w:val="32"/>
    <w:qFormat/>
    <w:rsid w:val="003E4D8B"/>
    <w:rPr>
      <w:b/>
      <w:bCs/>
      <w:smallCaps/>
      <w:color w:val="0F4761" w:themeColor="accent1" w:themeShade="BF"/>
      <w:spacing w:val="5"/>
    </w:rPr>
  </w:style>
  <w:style w:type="character" w:styleId="Hipersaitas">
    <w:name w:val="Hyperlink"/>
    <w:aliases w:val="Alna"/>
    <w:basedOn w:val="Numatytasispastraiposriftas"/>
    <w:uiPriority w:val="99"/>
    <w:qFormat/>
    <w:rsid w:val="003E4D8B"/>
    <w:rPr>
      <w:rFonts w:cs="Times New Roman"/>
      <w:color w:val="0000FF"/>
      <w:u w:val="single"/>
    </w:rPr>
  </w:style>
  <w:style w:type="paragraph" w:styleId="Antrats">
    <w:name w:val="header"/>
    <w:aliases w:val="Specialioji žyma,Header Char"/>
    <w:basedOn w:val="prastasis"/>
    <w:link w:val="AntratsDiagrama1"/>
    <w:uiPriority w:val="99"/>
    <w:rsid w:val="003E4D8B"/>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basedOn w:val="Numatytasispastraiposriftas"/>
    <w:uiPriority w:val="99"/>
    <w:semiHidden/>
    <w:rsid w:val="003E4D8B"/>
    <w:rPr>
      <w:rFonts w:eastAsiaTheme="minorEastAsia"/>
      <w:kern w:val="0"/>
      <w:sz w:val="22"/>
      <w:szCs w:val="22"/>
      <w:lang w:eastAsia="lt-LT"/>
      <w14:ligatures w14:val="none"/>
    </w:rPr>
  </w:style>
  <w:style w:type="character" w:customStyle="1" w:styleId="AntratsDiagrama1">
    <w:name w:val="Antraštės Diagrama1"/>
    <w:aliases w:val="Specialioji žyma Diagrama,Header Char Diagrama1"/>
    <w:basedOn w:val="Numatytasispastraiposriftas"/>
    <w:link w:val="Antrats"/>
    <w:uiPriority w:val="99"/>
    <w:locked/>
    <w:rsid w:val="003E4D8B"/>
    <w:rPr>
      <w:rFonts w:ascii="Calibri" w:eastAsia="Times New Roman" w:hAnsi="Calibri" w:cs="Times New Roman"/>
      <w:kern w:val="0"/>
      <w:szCs w:val="20"/>
      <w14:ligatures w14:val="none"/>
    </w:rPr>
  </w:style>
  <w:style w:type="character" w:styleId="Puslapionumeris">
    <w:name w:val="page number"/>
    <w:basedOn w:val="Numatytasispastraiposriftas"/>
    <w:rsid w:val="003E4D8B"/>
    <w:rPr>
      <w:rFonts w:cs="Times New Roman"/>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3E4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hyperlink" Target="http://193.219.53.9/aaa/Anotacijos%20%28LT%29/atlieku%20apdorojimui.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10345</Words>
  <Characters>5897</Characters>
  <Application>Microsoft Office Word</Application>
  <DocSecurity>0</DocSecurity>
  <Lines>49</Lines>
  <Paragraphs>32</Paragraphs>
  <ScaleCrop>false</ScaleCrop>
  <Company/>
  <LinksUpToDate>false</LinksUpToDate>
  <CharactersWithSpaces>16210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Miliauskas</dc:creator>
  <cp:keywords/>
  <dc:description/>
  <cp:lastModifiedBy>Povilas Miliauskas</cp:lastModifiedBy>
  <cp:revision>1</cp:revision>
  <dcterms:created xsi:type="dcterms:W3CDTF">2025-10-09T07:17:00Z</dcterms:created>
  <dcterms:modified xsi:type="dcterms:W3CDTF">2025-10-09T07:17:00Z</dcterms:modified>
</cp:coreProperties>
</file>