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2768383F"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w:t>
      </w:r>
      <w:r w:rsidR="003E3B7E">
        <w:rPr>
          <w:b/>
          <w:caps/>
          <w:szCs w:val="24"/>
        </w:rPr>
        <w:t>S</w:t>
      </w:r>
      <w:r>
        <w:rPr>
          <w:b/>
          <w:caps/>
          <w:szCs w:val="24"/>
        </w:rPr>
        <w:t xml:space="preserve"> </w:t>
      </w:r>
    </w:p>
    <w:p w14:paraId="36F1EEA3" w14:textId="77777777" w:rsidR="003E3B7E" w:rsidRDefault="003E3B7E">
      <w:pPr>
        <w:widowControl w:val="0"/>
        <w:pBdr>
          <w:top w:val="nil"/>
          <w:left w:val="nil"/>
          <w:bottom w:val="nil"/>
          <w:right w:val="nil"/>
          <w:between w:val="nil"/>
        </w:pBdr>
        <w:tabs>
          <w:tab w:val="left" w:pos="567"/>
          <w:tab w:val="left" w:pos="851"/>
        </w:tabs>
        <w:jc w:val="center"/>
        <w:rPr>
          <w:b/>
          <w:caps/>
          <w:szCs w:val="24"/>
        </w:rPr>
      </w:pP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29C16D6B" w:rsidR="005A5832" w:rsidRDefault="008E7BB3">
            <w:pPr>
              <w:jc w:val="both"/>
              <w:rPr>
                <w:kern w:val="2"/>
                <w:szCs w:val="24"/>
              </w:rPr>
            </w:pPr>
            <w:r>
              <w:rPr>
                <w:kern w:val="2"/>
                <w:szCs w:val="24"/>
              </w:rPr>
              <w:t>MAISTO PRODUKTAI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69E7A44C" w:rsidR="005A5832" w:rsidRDefault="005930A4">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B8FC50F" w:rsidR="005A5832" w:rsidRDefault="005930A4">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37ECB061" w:rsidR="005A5832" w:rsidRDefault="003E3B7E" w:rsidP="003E3B7E">
            <w:pPr>
              <w:jc w:val="both"/>
              <w:rPr>
                <w:kern w:val="2"/>
                <w:szCs w:val="24"/>
              </w:rPr>
            </w:pPr>
            <w:r w:rsidRPr="003E3B7E">
              <w:rPr>
                <w:kern w:val="2"/>
                <w:szCs w:val="24"/>
              </w:rPr>
              <w:t>UAB „Samsonas“</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6EFFC217" w:rsidR="005A5832" w:rsidRDefault="003E3B7E" w:rsidP="003E3B7E">
            <w:pPr>
              <w:jc w:val="both"/>
              <w:rPr>
                <w:kern w:val="2"/>
                <w:szCs w:val="24"/>
              </w:rPr>
            </w:pPr>
            <w:r w:rsidRPr="003E3B7E">
              <w:rPr>
                <w:kern w:val="2"/>
                <w:szCs w:val="24"/>
              </w:rPr>
              <w:t>133140587</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47E49018" w:rsidR="005A5832" w:rsidRDefault="003E3B7E" w:rsidP="003E3B7E">
            <w:pPr>
              <w:jc w:val="both"/>
              <w:rPr>
                <w:kern w:val="2"/>
                <w:szCs w:val="24"/>
              </w:rPr>
            </w:pPr>
            <w:r w:rsidRPr="003E3B7E">
              <w:rPr>
                <w:kern w:val="2"/>
                <w:szCs w:val="24"/>
              </w:rPr>
              <w:t>Europos pr. 38, Kaunas, Lietuva</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51898C5B" w:rsidR="005A5832" w:rsidRDefault="003E3B7E" w:rsidP="003E3B7E">
            <w:pPr>
              <w:jc w:val="both"/>
              <w:rPr>
                <w:kern w:val="2"/>
                <w:szCs w:val="24"/>
              </w:rPr>
            </w:pPr>
            <w:r w:rsidRPr="003E3B7E">
              <w:rPr>
                <w:kern w:val="2"/>
                <w:szCs w:val="24"/>
              </w:rPr>
              <w:t>LT331405811</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57FDE0F6" w:rsidR="005A5832" w:rsidRDefault="003E3B7E" w:rsidP="003E3B7E">
            <w:pPr>
              <w:jc w:val="both"/>
              <w:rPr>
                <w:kern w:val="2"/>
                <w:szCs w:val="24"/>
              </w:rPr>
            </w:pPr>
            <w:r w:rsidRPr="003E3B7E">
              <w:rPr>
                <w:kern w:val="2"/>
                <w:szCs w:val="24"/>
              </w:rPr>
              <w:t>LT277044060002846368</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5D4C5F7C" w:rsidR="005A5832" w:rsidRDefault="003E3B7E" w:rsidP="003E3B7E">
            <w:pPr>
              <w:jc w:val="both"/>
              <w:rPr>
                <w:kern w:val="2"/>
                <w:szCs w:val="24"/>
              </w:rPr>
            </w:pPr>
            <w:r w:rsidRPr="003E3B7E">
              <w:rPr>
                <w:kern w:val="2"/>
                <w:szCs w:val="24"/>
              </w:rPr>
              <w:t>AB SEB bankas</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64EAE7B1" w:rsidR="005A5832" w:rsidRDefault="005930A4" w:rsidP="003E3B7E">
            <w:pPr>
              <w:jc w:val="both"/>
              <w:rPr>
                <w:kern w:val="2"/>
                <w:szCs w:val="24"/>
              </w:rPr>
            </w:pPr>
            <w:r w:rsidRPr="00D61945">
              <w:rPr>
                <w:kern w:val="2"/>
                <w:szCs w:val="24"/>
              </w:rPr>
              <w:t>+370 374 90670</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3A8A0529" w:rsidR="005A5832" w:rsidRDefault="005930A4" w:rsidP="003E3B7E">
            <w:pPr>
              <w:jc w:val="both"/>
              <w:rPr>
                <w:kern w:val="2"/>
                <w:szCs w:val="24"/>
              </w:rPr>
            </w:pPr>
            <w:r w:rsidRPr="00D61945">
              <w:rPr>
                <w:kern w:val="2"/>
                <w:szCs w:val="24"/>
              </w:rPr>
              <w:t>ofisas@samsonas.lt.</w:t>
            </w: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68CD7ED9" w:rsidR="005A5832" w:rsidRDefault="005930A4" w:rsidP="003E3B7E">
            <w:pPr>
              <w:jc w:val="both"/>
              <w:rPr>
                <w:kern w:val="2"/>
                <w:szCs w:val="24"/>
              </w:rPr>
            </w:pPr>
            <w:r w:rsidRPr="00D61945">
              <w:rPr>
                <w:kern w:val="2"/>
                <w:szCs w:val="24"/>
              </w:rPr>
              <w:t>Generalinio direktoriaus pavaduotojas Andrius Lepinaitis</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43980ADB" w:rsidR="005A5832" w:rsidRDefault="005930A4" w:rsidP="003E3B7E">
            <w:pPr>
              <w:jc w:val="both"/>
              <w:rPr>
                <w:kern w:val="2"/>
                <w:szCs w:val="24"/>
              </w:rPr>
            </w:pPr>
            <w:r w:rsidRPr="00D1726F">
              <w:rPr>
                <w:kern w:val="2"/>
                <w:szCs w:val="24"/>
              </w:rPr>
              <w:t>2024 m. gruodžio 13 d. generalinio direktoriaus Henriko Urbštos įgaliojimas Nr. i20/2024</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1E28AFD9" w14:textId="77777777" w:rsidR="005930A4" w:rsidRDefault="005930A4" w:rsidP="005930A4">
            <w:pPr>
              <w:rPr>
                <w:b/>
                <w:bCs/>
                <w:szCs w:val="24"/>
              </w:rPr>
            </w:pPr>
            <w:r>
              <w:rPr>
                <w:b/>
                <w:bCs/>
                <w:szCs w:val="24"/>
              </w:rPr>
              <w:t xml:space="preserve">Pirkėjo atstovas (-ai): </w:t>
            </w:r>
          </w:p>
          <w:p w14:paraId="19EEE0BD" w14:textId="77777777" w:rsidR="005930A4" w:rsidRDefault="005930A4" w:rsidP="005930A4">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0" w:history="1">
              <w:r>
                <w:rPr>
                  <w:rStyle w:val="Hyperlink"/>
                  <w:szCs w:val="24"/>
                </w:rPr>
                <w:t>julija.lomonosova@mil.lt</w:t>
              </w:r>
            </w:hyperlink>
            <w:r>
              <w:rPr>
                <w:szCs w:val="24"/>
              </w:rPr>
              <w:t xml:space="preserve"> .</w:t>
            </w:r>
          </w:p>
          <w:p w14:paraId="7C308261" w14:textId="77777777" w:rsidR="005930A4" w:rsidRDefault="005930A4" w:rsidP="005930A4">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1"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2" w:history="1">
              <w:r>
                <w:rPr>
                  <w:rStyle w:val="Hyperlink"/>
                  <w:szCs w:val="24"/>
                </w:rPr>
                <w:t>artur.vištorskij@mil.lt</w:t>
              </w:r>
            </w:hyperlink>
            <w:r>
              <w:rPr>
                <w:color w:val="000000"/>
                <w:szCs w:val="24"/>
              </w:rPr>
              <w:t>,  tel. Nr. 0 52103666.</w:t>
            </w:r>
          </w:p>
          <w:p w14:paraId="2780CB65" w14:textId="6C06CDA1" w:rsidR="005A5832" w:rsidRDefault="005930A4" w:rsidP="005930A4">
            <w:pPr>
              <w:rPr>
                <w:color w:val="4472C4"/>
                <w:kern w:val="2"/>
                <w:szCs w:val="24"/>
              </w:rPr>
            </w:pPr>
            <w:r w:rsidRPr="005814CE">
              <w:rPr>
                <w:b/>
                <w:bCs/>
                <w:szCs w:val="24"/>
              </w:rPr>
              <w:t xml:space="preserve">- atsakingas už Sutarties ir pakeitimų paskelbimą – </w:t>
            </w:r>
            <w:r w:rsidRPr="005814CE">
              <w:rPr>
                <w:szCs w:val="24"/>
              </w:rPr>
              <w:t xml:space="preserve">Ilona Gotovt, el. paštas – </w:t>
            </w:r>
            <w:hyperlink r:id="rId13" w:history="1">
              <w:r w:rsidRPr="005814CE">
                <w:rPr>
                  <w:rStyle w:val="Hyperlink"/>
                  <w:szCs w:val="24"/>
                </w:rPr>
                <w:t>ilona.gotovt@mil.lt</w:t>
              </w:r>
            </w:hyperlink>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5A9CF9" w14:textId="77777777" w:rsidR="003E3B7E" w:rsidRPr="003E3B7E" w:rsidRDefault="003E3B7E">
            <w:pPr>
              <w:rPr>
                <w:kern w:val="2"/>
                <w:szCs w:val="24"/>
              </w:rPr>
            </w:pPr>
            <w:r w:rsidRPr="003E3B7E">
              <w:rPr>
                <w:kern w:val="2"/>
                <w:szCs w:val="24"/>
              </w:rPr>
              <w:t>Andrius Lepinaitis tel. Nr. +370 37 490670,</w:t>
            </w:r>
          </w:p>
          <w:p w14:paraId="509F706F" w14:textId="0C902336" w:rsidR="005A5832" w:rsidRDefault="003E3B7E" w:rsidP="003E3B7E">
            <w:pPr>
              <w:rPr>
                <w:color w:val="4472C4"/>
                <w:kern w:val="2"/>
                <w:szCs w:val="24"/>
              </w:rPr>
            </w:pPr>
            <w:r w:rsidRPr="003E3B7E">
              <w:rPr>
                <w:kern w:val="2"/>
                <w:szCs w:val="24"/>
              </w:rPr>
              <w:t>tel. paštas: ofisas@samsonas.lt.</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668B0F0A"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4D3550" w:rsidRPr="004D3550">
              <w:rPr>
                <w:b/>
              </w:rPr>
              <w:t xml:space="preserve">virtas kalakutienos dešreles, virtas vištienos dešreles su sūriu (kepimui), blynelius (lietinius), blynelius su braškių įdaru (užšaldytus), kukurūzų krakmolą, perlinį kuskusą, p rieskonius vištienai su kajano pipirais (Cajun prieskonius)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lastRenderedPageBreak/>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lastRenderedPageBreak/>
              <w:t>3.2. Pirkimo numeris</w:t>
            </w:r>
          </w:p>
        </w:tc>
        <w:tc>
          <w:tcPr>
            <w:tcW w:w="6831" w:type="dxa"/>
            <w:gridSpan w:val="2"/>
          </w:tcPr>
          <w:p w14:paraId="239372CC" w14:textId="0A202B13" w:rsidR="005A5832" w:rsidRDefault="00E34C3B">
            <w:pPr>
              <w:rPr>
                <w:kern w:val="2"/>
                <w:szCs w:val="24"/>
              </w:rPr>
            </w:pPr>
            <w:r>
              <w:rPr>
                <w:kern w:val="2"/>
                <w:szCs w:val="24"/>
              </w:rPr>
              <w:t xml:space="preserve">Nr. </w:t>
            </w:r>
            <w:r w:rsidR="008E2BEE">
              <w:rPr>
                <w:color w:val="000000" w:themeColor="text1"/>
              </w:rPr>
              <w:t>2847531</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33958EA0"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 xml:space="preserve">ninės kopijos) - </w:t>
            </w:r>
            <w:hyperlink r:id="rId14" w:history="1">
              <w:r w:rsidR="005930A4" w:rsidRPr="00450970">
                <w:rPr>
                  <w:rStyle w:val="Hyperlink"/>
                </w:rPr>
                <w:t>ofisas@samsonas.lt</w:t>
              </w:r>
            </w:hyperlink>
            <w:r w:rsidR="005930A4">
              <w:t xml:space="preserve"> </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069C73D9" w:rsidR="005A5832" w:rsidRDefault="00F857E5">
            <w:pPr>
              <w:rPr>
                <w:kern w:val="2"/>
                <w:szCs w:val="24"/>
              </w:rPr>
            </w:pPr>
            <w:r>
              <w:rPr>
                <w:kern w:val="2"/>
                <w:szCs w:val="24"/>
              </w:rPr>
              <w:t xml:space="preserve">5.2.1. </w:t>
            </w:r>
            <w:r w:rsidR="00A10867">
              <w:rPr>
                <w:kern w:val="2"/>
                <w:szCs w:val="24"/>
              </w:rPr>
              <w:t xml:space="preserve">Pradinės Sutarties vertė yra </w:t>
            </w:r>
            <w:r w:rsidR="00B008CC" w:rsidRPr="00B008CC">
              <w:rPr>
                <w:kern w:val="2"/>
                <w:szCs w:val="24"/>
              </w:rPr>
              <w:t>138 838,84</w:t>
            </w:r>
            <w:r w:rsidR="00A10867" w:rsidRPr="00B008CC">
              <w:rPr>
                <w:kern w:val="2"/>
                <w:szCs w:val="24"/>
              </w:rPr>
              <w:t xml:space="preserve"> Eur, (</w:t>
            </w:r>
            <w:r w:rsidR="00B008CC" w:rsidRPr="00B008CC">
              <w:rPr>
                <w:kern w:val="2"/>
                <w:szCs w:val="24"/>
              </w:rPr>
              <w:t>vienas šimtas trisdešimt aštuoni tūkstančiai aštuoni šimtai trisdešimt aštuoni eurai, 84 ct</w:t>
            </w:r>
            <w:r w:rsidR="00A10867" w:rsidRPr="00B008CC">
              <w:rPr>
                <w:kern w:val="2"/>
                <w:szCs w:val="24"/>
              </w:rPr>
              <w:t xml:space="preserve">) </w:t>
            </w:r>
            <w:r w:rsidR="00A10867">
              <w:rPr>
                <w:kern w:val="2"/>
                <w:szCs w:val="24"/>
              </w:rPr>
              <w:t>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5A0B85B1" w:rsidR="005A5832" w:rsidRDefault="00A10867">
            <w:pPr>
              <w:rPr>
                <w:kern w:val="2"/>
                <w:szCs w:val="24"/>
              </w:rPr>
            </w:pPr>
            <w:r>
              <w:rPr>
                <w:kern w:val="2"/>
                <w:szCs w:val="24"/>
              </w:rPr>
              <w:t xml:space="preserve">PVM sudaro </w:t>
            </w:r>
            <w:r w:rsidR="00B008CC" w:rsidRPr="00B008CC">
              <w:rPr>
                <w:kern w:val="2"/>
                <w:szCs w:val="24"/>
              </w:rPr>
              <w:t>29 156,16</w:t>
            </w:r>
            <w:r w:rsidRPr="00B008CC">
              <w:rPr>
                <w:kern w:val="2"/>
                <w:szCs w:val="24"/>
              </w:rPr>
              <w:t xml:space="preserve"> Eur, (</w:t>
            </w:r>
            <w:r w:rsidR="00B008CC" w:rsidRPr="00B008CC">
              <w:rPr>
                <w:kern w:val="2"/>
                <w:szCs w:val="24"/>
              </w:rPr>
              <w:t>dvidešimt devyni tūkstančiai vienas šimtas penkiasdešimt šeši eurai, 16 ct</w:t>
            </w:r>
            <w:r w:rsidRPr="00B008CC">
              <w:rPr>
                <w:kern w:val="2"/>
                <w:szCs w:val="24"/>
              </w:rPr>
              <w:t>).</w:t>
            </w:r>
          </w:p>
          <w:p w14:paraId="2F16FAF9" w14:textId="3933C246" w:rsidR="005A5832" w:rsidRDefault="00A10867">
            <w:pPr>
              <w:rPr>
                <w:kern w:val="2"/>
                <w:szCs w:val="24"/>
              </w:rPr>
            </w:pPr>
            <w:r>
              <w:rPr>
                <w:kern w:val="2"/>
                <w:szCs w:val="24"/>
              </w:rPr>
              <w:t xml:space="preserve">Sutarties kaina yra </w:t>
            </w:r>
            <w:bookmarkStart w:id="0" w:name="_GoBack"/>
            <w:r w:rsidR="00B008CC" w:rsidRPr="00B008CC">
              <w:rPr>
                <w:kern w:val="2"/>
                <w:szCs w:val="24"/>
              </w:rPr>
              <w:t>167 995,00</w:t>
            </w:r>
            <w:bookmarkEnd w:id="0"/>
            <w:r w:rsidRPr="00B008CC">
              <w:rPr>
                <w:kern w:val="2"/>
                <w:szCs w:val="24"/>
              </w:rPr>
              <w:t xml:space="preserve"> Eur, (</w:t>
            </w:r>
            <w:r w:rsidR="00B008CC" w:rsidRPr="00B008CC">
              <w:rPr>
                <w:kern w:val="2"/>
                <w:szCs w:val="24"/>
              </w:rPr>
              <w:t>vienas šimtas šešiasdešimt septyni tūkstančiai devyni šimtai devyniasdešimt penkti eurai, 00 ct</w:t>
            </w:r>
            <w:r w:rsidRPr="00B008CC">
              <w:rPr>
                <w:kern w:val="2"/>
                <w:szCs w:val="24"/>
              </w:rPr>
              <w:t xml:space="preserve">) </w:t>
            </w:r>
            <w:r>
              <w:rPr>
                <w:kern w:val="2"/>
                <w:szCs w:val="24"/>
              </w:rPr>
              <w:t>su PVM.</w:t>
            </w:r>
          </w:p>
          <w:p w14:paraId="1FA6F3FB" w14:textId="60063347" w:rsidR="005A5832" w:rsidRDefault="00F857E5" w:rsidP="00F857E5">
            <w:pPr>
              <w:jc w:val="both"/>
              <w:rPr>
                <w:color w:val="000000"/>
                <w:kern w:val="2"/>
                <w:szCs w:val="24"/>
              </w:rPr>
            </w:pPr>
            <w:r>
              <w:rPr>
                <w:color w:val="000000"/>
                <w:kern w:val="2"/>
                <w:szCs w:val="24"/>
              </w:rPr>
              <w:t xml:space="preserve">5.2.2. </w:t>
            </w:r>
            <w:r w:rsidR="00A10867">
              <w:rPr>
                <w:color w:val="000000"/>
                <w:kern w:val="2"/>
                <w:szCs w:val="24"/>
              </w:rPr>
              <w:t>Šioje Sutartyje Pradinės Sutarties vertė yra lygi </w:t>
            </w:r>
            <w:r w:rsidR="00A10867" w:rsidRPr="005615C8">
              <w:rPr>
                <w:b/>
                <w:color w:val="000000"/>
                <w:kern w:val="2"/>
                <w:szCs w:val="24"/>
              </w:rPr>
              <w:t>Tiekėjo</w:t>
            </w:r>
            <w:r w:rsidR="00A10867">
              <w:rPr>
                <w:color w:val="000000"/>
                <w:kern w:val="2"/>
                <w:szCs w:val="24"/>
              </w:rPr>
              <w:t xml:space="preserve"> 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Pr>
                <w:kern w:val="2"/>
                <w:szCs w:val="24"/>
                <w:lang w:val="en-US"/>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22843DB9"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lastRenderedPageBreak/>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 xml:space="preserve">pradinės sutarties vertė, pasirašius Susitarimą </w:t>
            </w:r>
            <w:r w:rsidRPr="00F2272B">
              <w:lastRenderedPageBreak/>
              <w:t>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77777777" w:rsidR="009F3AB0" w:rsidRDefault="009F3AB0">
            <w:pPr>
              <w:rPr>
                <w:b/>
                <w:bCs/>
                <w:kern w:val="2"/>
                <w:szCs w:val="24"/>
              </w:rPr>
            </w:pPr>
            <w:r>
              <w:rPr>
                <w:b/>
                <w:bCs/>
                <w:kern w:val="2"/>
                <w:szCs w:val="24"/>
              </w:rPr>
              <w:t>6.1.</w:t>
            </w:r>
            <w:r w:rsidR="00DA5322">
              <w:rPr>
                <w:b/>
                <w:bCs/>
                <w:kern w:val="2"/>
                <w:szCs w:val="24"/>
              </w:rPr>
              <w:t xml:space="preserve"> Prekių kokybė</w:t>
            </w:r>
          </w:p>
        </w:tc>
        <w:tc>
          <w:tcPr>
            <w:tcW w:w="6831" w:type="dxa"/>
            <w:gridSpan w:val="2"/>
          </w:tcPr>
          <w:p w14:paraId="4475F000" w14:textId="77777777" w:rsidR="00DA5322" w:rsidRDefault="00DA5322" w:rsidP="00DA5322">
            <w:pPr>
              <w:jc w:val="both"/>
            </w:pPr>
            <w:r>
              <w:rPr>
                <w:kern w:val="2"/>
                <w:szCs w:val="24"/>
              </w:rPr>
              <w:t xml:space="preserve">6.1.1. </w:t>
            </w:r>
            <w:r w:rsidRPr="00EB4422">
              <w:t>Prek</w:t>
            </w:r>
            <w:r>
              <w:t>ės</w:t>
            </w:r>
            <w:r w:rsidRPr="00EB4422">
              <w:t xml:space="preserve"> privalo atitikti Sutartyje ir jos prieduose </w:t>
            </w:r>
            <w:r w:rsidRPr="00C33D3A">
              <w:t xml:space="preserve">nustatytus </w:t>
            </w:r>
            <w:r w:rsidRPr="00EB4422">
              <w:t>reikalavimus.</w:t>
            </w:r>
          </w:p>
          <w:p w14:paraId="6EAE308A" w14:textId="77777777" w:rsidR="00390179" w:rsidRDefault="00DA5322" w:rsidP="00390179">
            <w:pPr>
              <w:jc w:val="both"/>
            </w:pPr>
            <w:r>
              <w:t xml:space="preserve">6.1.2. </w:t>
            </w:r>
            <w:r w:rsidR="00390179" w:rsidRPr="00F025EE">
              <w:t xml:space="preserve">Prekių ženklinimas ir ant pakuotės pateikta informacija turi atitikti 2011 m. spalio 25 d. Europos Parlamento ir Tarybos reglamento </w:t>
            </w:r>
            <w:r w:rsidR="00390179"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00390179"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rsidR="00390179">
              <w:t xml:space="preserve"> </w:t>
            </w:r>
            <w:r w:rsidR="00390179" w:rsidRPr="00F025EE">
              <w:t>ženklinimo rekvizitus ar kokybines charakteristikas tam tikriems maisto produktams, reikalavimus.</w:t>
            </w:r>
          </w:p>
          <w:p w14:paraId="37C386B4" w14:textId="5C465047" w:rsidR="00DA5322" w:rsidRDefault="00DA5322" w:rsidP="00DA5322">
            <w:pPr>
              <w:jc w:val="both"/>
            </w:pPr>
            <w:r>
              <w:t>6.1.3</w:t>
            </w:r>
            <w:r w:rsidRPr="00F025EE">
              <w:t xml:space="preserve">. Prekių kokybė vertinama ir </w:t>
            </w:r>
            <w:r>
              <w:t>p</w:t>
            </w:r>
            <w:r w:rsidRPr="00F025EE">
              <w:t>rekės priimamos p</w:t>
            </w:r>
            <w:r>
              <w:t xml:space="preserve">ristačius jas </w:t>
            </w:r>
            <w:r w:rsidR="009B45A6">
              <w:rPr>
                <w:kern w:val="2"/>
                <w:szCs w:val="24"/>
              </w:rPr>
              <w:t>Sutarties</w:t>
            </w:r>
            <w:r w:rsidR="009B45A6" w:rsidRPr="009C132C">
              <w:t xml:space="preserve"> </w:t>
            </w:r>
            <w:r w:rsidR="009C132C" w:rsidRPr="009C132C">
              <w:t>Specialiųjų sąlygų</w:t>
            </w:r>
            <w:r>
              <w:t xml:space="preserve"> 4.1. </w:t>
            </w:r>
            <w:r w:rsidR="009C132C">
              <w:t>punkte</w:t>
            </w:r>
            <w:r>
              <w:t xml:space="preserve"> nurodytu adresu</w:t>
            </w:r>
            <w:r w:rsidRPr="00F025EE">
              <w:t>.</w:t>
            </w:r>
            <w:r w:rsidR="00ED45FF">
              <w:rPr>
                <w:b/>
              </w:rPr>
              <w:t xml:space="preserve"> Tiekėjui</w:t>
            </w:r>
            <w:r w:rsidRPr="00A76AC3">
              <w:t xml:space="preserve"> pristačius prekes, </w:t>
            </w:r>
            <w:r w:rsidR="00ED45FF">
              <w:rPr>
                <w:b/>
              </w:rPr>
              <w:t>Pirkėjas</w:t>
            </w:r>
            <w:r w:rsidRPr="00A76AC3">
              <w:t xml:space="preserve"> per 24 (dvidešimt keturias) va</w:t>
            </w:r>
            <w:r w:rsidR="00ED45FF">
              <w:t xml:space="preserve">landas turi teisę nuspręsti, ar </w:t>
            </w:r>
            <w:r w:rsidR="00ED45FF" w:rsidRPr="00ED45FF">
              <w:rPr>
                <w:b/>
              </w:rPr>
              <w:t>Tiekėjo</w:t>
            </w:r>
            <w:r w:rsidRPr="00A76AC3">
              <w:t xml:space="preserve"> pristatytoms prekėms bus atliekami laboratoriniai tyrimai tam, kad būtų įsitikinta, jog prekės atitinka Sutartyje ir jos prieduose nustatytus reikalavimus</w:t>
            </w:r>
            <w:r w:rsidR="00390179">
              <w:t>.</w:t>
            </w:r>
            <w:r w:rsidR="00390179">
              <w:rPr>
                <w:color w:val="000000"/>
              </w:rPr>
              <w:t xml:space="preserve"> </w:t>
            </w:r>
            <w:r w:rsidR="00390179" w:rsidRPr="001269FE">
              <w:t>L</w:t>
            </w:r>
            <w:r w:rsidR="00390179">
              <w:t>aboratoriniams bandymams imamų p</w:t>
            </w:r>
            <w:r w:rsidR="00390179" w:rsidRPr="001269FE">
              <w:t xml:space="preserve">rekių kiekis – ne mažiau kaip </w:t>
            </w:r>
            <w:r w:rsidR="00390179" w:rsidRPr="00B539E7">
              <w:t xml:space="preserve">1 </w:t>
            </w:r>
            <w:r w:rsidR="00390179">
              <w:t>(vienas) kg</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390179">
              <w:t>) iš pasirinktos p</w:t>
            </w:r>
            <w:r w:rsidR="00390179" w:rsidRPr="001269FE">
              <w:t xml:space="preserve">rekių partijos </w:t>
            </w:r>
            <w:r w:rsidR="00390179">
              <w:t>ar tos pačios partijos siuntos.</w:t>
            </w:r>
            <w:r w:rsidR="00390179" w:rsidRPr="00F025EE">
              <w:t xml:space="preserve"> Tikslus imamas prekių kiekis, reikalingas laboratoriniams </w:t>
            </w:r>
            <w:r w:rsidR="00390179">
              <w:t>tyrimams</w:t>
            </w:r>
            <w:r w:rsidR="00390179" w:rsidRPr="00F025EE">
              <w:t xml:space="preserve"> atlikti, nustatomas atsižvelgiant į bandymą atliksiančių spec</w:t>
            </w:r>
            <w:r w:rsidR="00390179">
              <w:t>ialistų (įmonės) nurodytą kiekį</w:t>
            </w:r>
            <w:r w:rsidRPr="00E844DC">
              <w:t>.</w:t>
            </w:r>
            <w:r>
              <w:t xml:space="preserve"> Nustačius neatitikimus, p</w:t>
            </w:r>
            <w:r w:rsidRPr="00F025EE">
              <w:t>rekės nepriimamos ir laikoma</w:t>
            </w:r>
            <w:r w:rsidR="00ED45FF">
              <w:t xml:space="preserve">, kad jos nebuvo pristatytos, o </w:t>
            </w:r>
            <w:r w:rsidR="00ED45FF" w:rsidRPr="00ED45FF">
              <w:rPr>
                <w:b/>
              </w:rPr>
              <w:t>Tiekėjas</w:t>
            </w:r>
            <w:r>
              <w:t xml:space="preserve"> savo lėšomis nedelsiant </w:t>
            </w:r>
            <w:r>
              <w:lastRenderedPageBreak/>
              <w:t>p</w:t>
            </w:r>
            <w:r w:rsidR="00ED45FF">
              <w:t xml:space="preserve">rekes turi atsiimti. </w:t>
            </w:r>
            <w:r w:rsidR="00ED45FF" w:rsidRPr="00ED45FF">
              <w:rPr>
                <w:b/>
              </w:rPr>
              <w:t>Tiekė</w:t>
            </w:r>
            <w:r w:rsidRPr="00F025EE">
              <w:rPr>
                <w:b/>
              </w:rPr>
              <w:t>jui</w:t>
            </w:r>
            <w:r w:rsidRPr="00F025EE">
              <w:t xml:space="preserve"> neįvykdžiu</w:t>
            </w:r>
            <w:r>
              <w:t>s pareigos nedelsiant atsiimti p</w:t>
            </w:r>
            <w:r w:rsidRPr="00F025EE">
              <w:t xml:space="preserve">rekes, </w:t>
            </w:r>
            <w:r w:rsidR="00ED45FF">
              <w:rPr>
                <w:b/>
              </w:rPr>
              <w:t>Tiekėjas</w:t>
            </w:r>
            <w:r w:rsidRPr="00F025EE">
              <w:t xml:space="preserve"> neturi</w:t>
            </w:r>
            <w:r>
              <w:t xml:space="preserve"> teisės reikšti pretenzijų dėl p</w:t>
            </w:r>
            <w:r w:rsidRPr="00F025EE">
              <w:t>rekių žuvimo ar sugadinimo.</w:t>
            </w:r>
          </w:p>
          <w:p w14:paraId="32EEC7D7" w14:textId="142466E8" w:rsidR="008D19E4" w:rsidRPr="00433D5D" w:rsidRDefault="008D19E4" w:rsidP="008D19E4">
            <w:pPr>
              <w:contextualSpacing/>
              <w:jc w:val="both"/>
              <w:rPr>
                <w:rFonts w:eastAsiaTheme="minorHAnsi"/>
              </w:rPr>
            </w:pPr>
            <w:r>
              <w:t xml:space="preserve">6.1.4.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neapmokama bei laikoma, kad prekės nebuvo pristatytos. Nustačius prekių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0D754293" w14:textId="1C4DCF68" w:rsidR="008D19E4" w:rsidRDefault="008D19E4" w:rsidP="008D19E4">
            <w:pPr>
              <w:contextualSpacing/>
              <w:jc w:val="both"/>
              <w:rPr>
                <w:rFonts w:eastAsiaTheme="minorHAnsi"/>
              </w:rPr>
            </w:pPr>
            <w:r>
              <w:rPr>
                <w:rFonts w:eastAsiaTheme="minorHAnsi"/>
              </w:rPr>
              <w:t>6.1</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69E1FE8F" w14:textId="172A7A33" w:rsidR="00F24D18" w:rsidRDefault="00DA5322" w:rsidP="00637EA7">
            <w:pPr>
              <w:tabs>
                <w:tab w:val="left" w:pos="282"/>
              </w:tabs>
              <w:jc w:val="both"/>
            </w:pPr>
            <w:r>
              <w:t>6.1.</w:t>
            </w:r>
            <w:r w:rsidR="008D19E4">
              <w:t>6</w:t>
            </w:r>
            <w:r w:rsidRPr="00F025EE">
              <w:t xml:space="preserve">. </w:t>
            </w:r>
            <w:r w:rsidR="00ED45FF">
              <w:rPr>
                <w:b/>
              </w:rPr>
              <w:t>Pirkėjui</w:t>
            </w:r>
            <w:r>
              <w:t xml:space="preserve"> </w:t>
            </w:r>
            <w:r w:rsidR="00390179">
              <w:t>prekių priėmimo metu pastebėjus p</w:t>
            </w:r>
            <w:r w:rsidR="00390179" w:rsidRPr="00F025EE">
              <w:t>rekių įpakavimo, tinkamumo vartoti termi</w:t>
            </w:r>
            <w:r w:rsidR="00390179">
              <w:t>nų (prekių pristatymo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390179" w:rsidRPr="00F025EE">
              <w:t xml:space="preserve">neteisingai nurodyta prekės matavimo vnt. kaina, </w:t>
            </w:r>
            <w:r w:rsidR="00390179">
              <w:t xml:space="preserve">neteisingas </w:t>
            </w:r>
            <w:r w:rsidR="00390179" w:rsidRPr="00F025EE">
              <w:t xml:space="preserve">ženklinimas ir kt.), surašomas aktas, kurį pasirašo </w:t>
            </w:r>
            <w:r w:rsidR="00390179">
              <w:rPr>
                <w:b/>
              </w:rPr>
              <w:t>Pirkėjas</w:t>
            </w:r>
            <w:r w:rsidR="00390179" w:rsidRPr="00F025EE">
              <w:t xml:space="preserve"> ir prekes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390179" w:rsidRPr="00F025EE">
              <w:t>i) už tiekiamų prekių kokybę, el. paštu, pridedant akto skenuotą kopiją. Šiame punkte nurodytu</w:t>
            </w:r>
            <w:r w:rsidR="00390179">
              <w:t xml:space="preserve"> atveju p</w:t>
            </w:r>
            <w:r w:rsidR="00390179" w:rsidRPr="00F025EE">
              <w:t xml:space="preserve">rekės nepriimamos ir grąžinamos </w:t>
            </w:r>
            <w:r w:rsidR="00390179">
              <w:rPr>
                <w:b/>
              </w:rPr>
              <w:t>Tiekėjui</w:t>
            </w:r>
            <w:r w:rsidR="00390179">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5CBEEAEF" w14:textId="77777777">
        <w:trPr>
          <w:trHeight w:val="300"/>
        </w:trPr>
        <w:tc>
          <w:tcPr>
            <w:tcW w:w="2704" w:type="dxa"/>
            <w:gridSpan w:val="2"/>
          </w:tcPr>
          <w:p w14:paraId="6347EBA2" w14:textId="77777777" w:rsidR="005A5832" w:rsidRDefault="009F3AB0">
            <w:pPr>
              <w:rPr>
                <w:b/>
                <w:bCs/>
                <w:kern w:val="2"/>
                <w:szCs w:val="24"/>
              </w:rPr>
            </w:pPr>
            <w:r>
              <w:rPr>
                <w:b/>
                <w:bCs/>
                <w:kern w:val="2"/>
                <w:szCs w:val="24"/>
              </w:rPr>
              <w:lastRenderedPageBreak/>
              <w:t>6.2</w:t>
            </w:r>
            <w:r w:rsidR="00A10867">
              <w:rPr>
                <w:b/>
                <w:bCs/>
                <w:kern w:val="2"/>
                <w:szCs w:val="24"/>
              </w:rPr>
              <w:t>. Garantinis terminas</w:t>
            </w:r>
          </w:p>
        </w:tc>
        <w:tc>
          <w:tcPr>
            <w:tcW w:w="6831" w:type="dxa"/>
            <w:gridSpan w:val="2"/>
          </w:tcPr>
          <w:p w14:paraId="592788FB" w14:textId="34A52D4B" w:rsidR="005A5832" w:rsidRPr="00616EC2" w:rsidRDefault="00616EC2" w:rsidP="00B54128">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00B54128">
              <w:t>Sutarties 1 priede</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77777777" w:rsidR="005A5832" w:rsidRDefault="009F3AB0">
            <w:pPr>
              <w:rPr>
                <w:b/>
                <w:bCs/>
                <w:kern w:val="2"/>
                <w:szCs w:val="24"/>
              </w:rPr>
            </w:pPr>
            <w:r>
              <w:rPr>
                <w:b/>
                <w:bCs/>
                <w:kern w:val="2"/>
                <w:szCs w:val="24"/>
              </w:rPr>
              <w:t>6.3</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24043672" w14:textId="7DA83B1E" w:rsidR="005A5832" w:rsidRDefault="005A5832">
            <w:pPr>
              <w:rPr>
                <w:b/>
                <w:bCs/>
                <w:kern w:val="2"/>
                <w:szCs w:val="24"/>
              </w:rPr>
            </w:pP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77777777" w:rsidR="005A5832" w:rsidRDefault="00A10867" w:rsidP="00990445">
            <w:pPr>
              <w:rPr>
                <w:kern w:val="2"/>
                <w:szCs w:val="24"/>
              </w:rPr>
            </w:pPr>
            <w:r w:rsidRPr="00990445">
              <w:rPr>
                <w:kern w:val="2"/>
                <w:szCs w:val="24"/>
              </w:rPr>
              <w:t>Kitais Lietuvos Respublikos civiliniame kodekse ir (ar) Sutartyje nurodytais prievo</w:t>
            </w:r>
            <w:r w:rsidR="00990445" w:rsidRPr="00990445">
              <w:rPr>
                <w:kern w:val="2"/>
                <w:szCs w:val="24"/>
              </w:rPr>
              <w:t>lių įvykdymo užtikrinimo būdais.</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29FC39D6"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C024572" w14:textId="28B9A36D"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lastRenderedPageBreak/>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011F9F9C" w:rsidR="005A5832" w:rsidRDefault="00374887" w:rsidP="00A43D8F">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 xml:space="preserve">Šalių iš anksto sutartų minimalių nuostolių dydis yra   </w:t>
            </w:r>
            <w:r w:rsidR="00A43D8F">
              <w:rPr>
                <w:kern w:val="2"/>
                <w:szCs w:val="24"/>
              </w:rPr>
              <w:t>20 825,83 Eur (dvidešimt tūkstančių aštuoni šimtai dvidešimt penkti eurai, 83 ct)</w:t>
            </w:r>
            <w:r w:rsidR="00F70274">
              <w:rPr>
                <w:kern w:val="2"/>
                <w:szCs w:val="24"/>
              </w:rPr>
              <w:t xml:space="preserve">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5.2 punkte nurodytos pradinės Sutarties vertės Eur be PVM )</w:t>
            </w:r>
            <w:r>
              <w:rPr>
                <w:kern w:val="2"/>
                <w:szCs w:val="24"/>
              </w:rPr>
              <w:t>.</w:t>
            </w:r>
          </w:p>
        </w:tc>
      </w:tr>
      <w:tr w:rsidR="005A5832" w14:paraId="2923C79F" w14:textId="77777777">
        <w:trPr>
          <w:trHeight w:val="300"/>
        </w:trPr>
        <w:tc>
          <w:tcPr>
            <w:tcW w:w="9535" w:type="dxa"/>
            <w:gridSpan w:val="4"/>
          </w:tcPr>
          <w:p w14:paraId="2323A2A8" w14:textId="77777777" w:rsidR="005A5832" w:rsidRDefault="00A10867">
            <w:pPr>
              <w:jc w:val="center"/>
              <w:rPr>
                <w:b/>
                <w:bCs/>
                <w:kern w:val="2"/>
                <w:szCs w:val="24"/>
              </w:rPr>
            </w:pPr>
            <w:r>
              <w:rPr>
                <w:b/>
                <w:bCs/>
                <w:kern w:val="2"/>
                <w:szCs w:val="24"/>
              </w:rPr>
              <w:t>10. SUTARTIES GALIOJIMAS IR KEITIMAS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6B459D0" w14:textId="13201DD8" w:rsidR="005B5FF3" w:rsidRDefault="005B5FF3" w:rsidP="00EB6870">
            <w:pPr>
              <w:jc w:val="both"/>
              <w:rPr>
                <w:kern w:val="2"/>
                <w:szCs w:val="24"/>
              </w:rPr>
            </w:pPr>
            <w:r>
              <w:rPr>
                <w:kern w:val="2"/>
                <w:szCs w:val="24"/>
              </w:rPr>
              <w:t>Ši Sutartis laikoma sudaryta ir įsigalioja nuo Sutarties pasirašymo dienos (antrosios Šalies pasirašymo dieną).</w:t>
            </w:r>
            <w:r w:rsidR="000B01CD">
              <w:rPr>
                <w:kern w:val="2"/>
                <w:szCs w:val="24"/>
              </w:rPr>
              <w:t xml:space="preserve"> </w:t>
            </w:r>
            <w:r w:rsidR="000B01CD">
              <w:rPr>
                <w:color w:val="000000"/>
                <w:kern w:val="2"/>
                <w:szCs w:val="24"/>
              </w:rPr>
              <w:t>Sutartis galioja iki visiško prievolių įvykdymo (kol bus išnaudota Pradinės Sutarties vertė, bet jos terminas negali būti ilgesnis kaip 36 (trisdešimt šeši) mėnesiai.</w:t>
            </w:r>
          </w:p>
          <w:p w14:paraId="1FE643A0" w14:textId="5CFCEDED" w:rsidR="005A5832" w:rsidRPr="00EB6870" w:rsidRDefault="005A5832" w:rsidP="00EB6870">
            <w:pPr>
              <w:jc w:val="both"/>
              <w:rPr>
                <w:bCs/>
              </w:rPr>
            </w:pP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0F2C34E1" w14:textId="77777777" w:rsidR="008A7CCE" w:rsidRDefault="00A10867" w:rsidP="00112B5F">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p w14:paraId="10EFD072" w14:textId="59C495BB" w:rsidR="005A5832" w:rsidRPr="00C84807" w:rsidRDefault="005A5832">
            <w:pPr>
              <w:rPr>
                <w:kern w:val="2"/>
                <w:szCs w:val="24"/>
              </w:rPr>
            </w:pP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(-uose)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w:t>
            </w:r>
            <w:r w:rsidRPr="00391233">
              <w:lastRenderedPageBreak/>
              <w:t>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lastRenderedPageBreak/>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675522A1" w:rsidR="005A5832" w:rsidRDefault="00E215BB" w:rsidP="008674BD">
            <w:pPr>
              <w:rPr>
                <w:b/>
                <w:bCs/>
                <w:kern w:val="2"/>
                <w:szCs w:val="24"/>
              </w:rPr>
            </w:pPr>
            <w:r w:rsidRPr="00ED6F22">
              <w:t>„Prekių pavadinimai, reikalavimai, kiekiai, pristatymo dažnumas ir įkainiai“</w:t>
            </w:r>
            <w:r w:rsidRPr="00D00536">
              <w:rPr>
                <w:rFonts w:eastAsia="Calibri"/>
              </w:rPr>
              <w:t xml:space="preserve">, </w:t>
            </w:r>
            <w:r w:rsidR="008674BD">
              <w:rPr>
                <w:rFonts w:eastAsia="Calibri"/>
              </w:rPr>
              <w:t xml:space="preserve">2 </w:t>
            </w:r>
            <w:r w:rsidRPr="00D00536">
              <w:rPr>
                <w:rFonts w:eastAsia="Calibri"/>
              </w:rPr>
              <w:t>lap</w:t>
            </w:r>
            <w:r w:rsidR="008674BD">
              <w:rPr>
                <w:rFonts w:eastAsia="Calibri"/>
              </w:rPr>
              <w:t>ai</w:t>
            </w:r>
            <w:r w:rsidRPr="00D00536">
              <w:rPr>
                <w:rFonts w:eastAsia="Calibri"/>
              </w:rPr>
              <w:t>;</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081F557E"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2533A">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0706D2DC" w:rsidR="005A5832" w:rsidRDefault="005930A4">
            <w:pPr>
              <w:jc w:val="center"/>
              <w:rPr>
                <w:color w:val="4472C4"/>
                <w:kern w:val="2"/>
                <w:szCs w:val="24"/>
              </w:rPr>
            </w:pPr>
            <w:r>
              <w:rPr>
                <w:kern w:val="2"/>
                <w:szCs w:val="24"/>
              </w:rPr>
              <w:t>Štabo viršininkas plk. Denisas Starikovičius</w:t>
            </w:r>
          </w:p>
        </w:tc>
        <w:tc>
          <w:tcPr>
            <w:tcW w:w="4747" w:type="dxa"/>
          </w:tcPr>
          <w:p w14:paraId="124170D0" w14:textId="3F4D151C" w:rsidR="005A5832" w:rsidRDefault="004E451D" w:rsidP="002471E0">
            <w:pPr>
              <w:jc w:val="center"/>
              <w:rPr>
                <w:b/>
                <w:bCs/>
                <w:kern w:val="2"/>
                <w:szCs w:val="24"/>
              </w:rPr>
            </w:pPr>
            <w:r>
              <w:t xml:space="preserve">Generalinio direktoriaus pavaduotojas </w:t>
            </w:r>
            <w:r w:rsidR="002471E0" w:rsidRPr="00210486">
              <w:t>Andrius Lepinai</w:t>
            </w:r>
            <w:r w:rsidR="002471E0">
              <w:t>tis</w:t>
            </w:r>
          </w:p>
        </w:tc>
      </w:tr>
      <w:tr w:rsidR="005A5832" w14:paraId="0AC18C6C" w14:textId="77777777">
        <w:tc>
          <w:tcPr>
            <w:tcW w:w="4788" w:type="dxa"/>
            <w:gridSpan w:val="3"/>
          </w:tcPr>
          <w:p w14:paraId="307FD772" w14:textId="77777777" w:rsidR="005A5832" w:rsidRDefault="005A5832">
            <w:pPr>
              <w:jc w:val="center"/>
              <w:rPr>
                <w:b/>
                <w:bCs/>
                <w:color w:val="4472C4"/>
                <w:kern w:val="2"/>
                <w:szCs w:val="24"/>
              </w:rPr>
            </w:pPr>
          </w:p>
          <w:p w14:paraId="3379060F" w14:textId="77777777" w:rsidR="005A5832" w:rsidRDefault="00A10867">
            <w:pPr>
              <w:jc w:val="center"/>
              <w:rPr>
                <w:b/>
                <w:bCs/>
                <w:color w:val="4472C4"/>
                <w:kern w:val="2"/>
                <w:szCs w:val="24"/>
              </w:rPr>
            </w:pPr>
            <w:r>
              <w:rPr>
                <w:b/>
                <w:bCs/>
                <w:color w:val="4472C4"/>
                <w:kern w:val="2"/>
                <w:szCs w:val="24"/>
              </w:rPr>
              <w:t>(parašas)</w:t>
            </w:r>
          </w:p>
          <w:p w14:paraId="44EA3887" w14:textId="77777777" w:rsidR="005A5832" w:rsidRDefault="005A5832">
            <w:pPr>
              <w:jc w:val="center"/>
              <w:rPr>
                <w:b/>
                <w:bCs/>
                <w:color w:val="4472C4"/>
                <w:kern w:val="2"/>
                <w:szCs w:val="24"/>
              </w:rPr>
            </w:pPr>
          </w:p>
          <w:p w14:paraId="68876D08" w14:textId="77777777" w:rsidR="005A5832" w:rsidRDefault="005A5832">
            <w:pPr>
              <w:jc w:val="center"/>
              <w:rPr>
                <w:b/>
                <w:bCs/>
                <w:color w:val="4472C4"/>
                <w:kern w:val="2"/>
                <w:szCs w:val="24"/>
              </w:rPr>
            </w:pPr>
          </w:p>
        </w:tc>
        <w:tc>
          <w:tcPr>
            <w:tcW w:w="4747" w:type="dxa"/>
          </w:tcPr>
          <w:p w14:paraId="2E6EAB84" w14:textId="77777777" w:rsidR="005A5832" w:rsidRDefault="005A5832">
            <w:pPr>
              <w:jc w:val="center"/>
              <w:rPr>
                <w:b/>
                <w:bCs/>
                <w:color w:val="4472C4"/>
                <w:kern w:val="2"/>
                <w:szCs w:val="24"/>
              </w:rPr>
            </w:pPr>
          </w:p>
          <w:p w14:paraId="66B6B819" w14:textId="77777777" w:rsidR="005A5832" w:rsidRDefault="00A10867">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43BD987C" w:rsidR="005930A4" w:rsidRDefault="005930A4">
      <w:pPr>
        <w:rPr>
          <w:szCs w:val="24"/>
        </w:rPr>
      </w:pPr>
      <w:r>
        <w:rPr>
          <w:szCs w:val="24"/>
        </w:rPr>
        <w:br w:type="page"/>
      </w:r>
    </w:p>
    <w:p w14:paraId="687D012C" w14:textId="7F33DC52" w:rsidR="00D7395A" w:rsidRDefault="00543616" w:rsidP="0054361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sutartis </w:t>
      </w:r>
    </w:p>
    <w:p w14:paraId="3F26439F" w14:textId="77777777" w:rsidR="008674BD" w:rsidRDefault="008674BD" w:rsidP="00543616">
      <w:pPr>
        <w:spacing w:line="259" w:lineRule="auto"/>
        <w:jc w:val="center"/>
        <w:rPr>
          <w:b/>
          <w:caps/>
          <w:szCs w:val="24"/>
        </w:rPr>
      </w:pPr>
    </w:p>
    <w:p w14:paraId="08422DE2" w14:textId="77777777" w:rsidR="008674BD" w:rsidRDefault="008674BD" w:rsidP="00543616">
      <w:pPr>
        <w:spacing w:line="259" w:lineRule="auto"/>
        <w:jc w:val="center"/>
        <w:rPr>
          <w:b/>
          <w:caps/>
          <w:szCs w:val="24"/>
        </w:rPr>
      </w:pP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w:t>
      </w:r>
      <w:r>
        <w:rPr>
          <w:rFonts w:eastAsia="Arial"/>
          <w:szCs w:val="24"/>
        </w:rPr>
        <w:lastRenderedPageBreak/>
        <w:t>(jeigu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w:t>
      </w:r>
      <w:r>
        <w:rPr>
          <w:rFonts w:eastAsia="Arial"/>
          <w:szCs w:val="24"/>
        </w:rPr>
        <w:lastRenderedPageBreak/>
        <w:t xml:space="preserve">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w:t>
      </w:r>
      <w:r>
        <w:rPr>
          <w:rFonts w:eastAsia="Cambria"/>
          <w:color w:val="000000"/>
          <w:szCs w:val="24"/>
          <w:shd w:val="clear" w:color="auto" w:fill="FFFFFF"/>
        </w:rPr>
        <w:lastRenderedPageBreak/>
        <w:t>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w:t>
      </w:r>
      <w:r>
        <w:rPr>
          <w:rFonts w:eastAsia="Cambria"/>
          <w:color w:val="000000"/>
          <w:szCs w:val="24"/>
        </w:rPr>
        <w:lastRenderedPageBreak/>
        <w:t>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w:t>
      </w:r>
      <w:r>
        <w:rPr>
          <w:rFonts w:eastAsia="Cambria"/>
          <w:color w:val="000000"/>
          <w:szCs w:val="24"/>
          <w:shd w:val="clear" w:color="auto" w:fill="FFFFFF"/>
        </w:rPr>
        <w:lastRenderedPageBreak/>
        <w:t xml:space="preserve">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w:t>
      </w:r>
      <w:r>
        <w:rPr>
          <w:rFonts w:eastAsia="Arial"/>
          <w:szCs w:val="24"/>
        </w:rPr>
        <w:lastRenderedPageBreak/>
        <w:t>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w:t>
      </w:r>
      <w:r>
        <w:rPr>
          <w:rFonts w:eastAsia="Arial"/>
          <w:szCs w:val="24"/>
        </w:rPr>
        <w:lastRenderedPageBreak/>
        <w:t xml:space="preserve">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w:t>
      </w:r>
      <w:r>
        <w:rPr>
          <w:rFonts w:eastAsia="Arial"/>
          <w:szCs w:val="24"/>
        </w:rPr>
        <w:lastRenderedPageBreak/>
        <w:t>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lastRenderedPageBreak/>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w:t>
      </w:r>
      <w:r>
        <w:rPr>
          <w:szCs w:val="24"/>
        </w:rPr>
        <w:lastRenderedPageBreak/>
        <w:t>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w:t>
      </w:r>
      <w:r>
        <w:rPr>
          <w:rFonts w:eastAsia="Arial"/>
          <w:szCs w:val="24"/>
        </w:rPr>
        <w:lastRenderedPageBreak/>
        <w:t xml:space="preserve">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3A6AE69" w14:textId="72413C3B" w:rsidR="00543616" w:rsidRDefault="005930A4" w:rsidP="00543616">
      <w:pPr>
        <w:jc w:val="center"/>
        <w:rPr>
          <w:szCs w:val="24"/>
        </w:rPr>
      </w:pPr>
      <w:r>
        <w:rPr>
          <w:szCs w:val="24"/>
        </w:rPr>
        <w:t>_______________________</w:t>
      </w:r>
    </w:p>
    <w:sectPr w:rsidR="00543616" w:rsidSect="00063C0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B3203" w14:textId="77777777" w:rsidR="00A3381A" w:rsidRDefault="00A3381A">
      <w:pPr>
        <w:rPr>
          <w:kern w:val="2"/>
          <w:sz w:val="22"/>
          <w:szCs w:val="22"/>
          <w:lang w:val="en-US"/>
        </w:rPr>
      </w:pPr>
      <w:r>
        <w:rPr>
          <w:kern w:val="2"/>
          <w:sz w:val="22"/>
          <w:szCs w:val="22"/>
          <w:lang w:val="en-US"/>
        </w:rPr>
        <w:separator/>
      </w:r>
    </w:p>
  </w:endnote>
  <w:endnote w:type="continuationSeparator" w:id="0">
    <w:p w14:paraId="0499626A" w14:textId="77777777" w:rsidR="00A3381A" w:rsidRDefault="00A3381A">
      <w:pPr>
        <w:rPr>
          <w:kern w:val="2"/>
          <w:sz w:val="22"/>
          <w:szCs w:val="22"/>
          <w:lang w:val="en-US"/>
        </w:rPr>
      </w:pPr>
      <w:r>
        <w:rPr>
          <w:kern w:val="2"/>
          <w:sz w:val="22"/>
          <w:szCs w:val="22"/>
          <w:lang w:val="en-US"/>
        </w:rPr>
        <w:continuationSeparator/>
      </w:r>
    </w:p>
  </w:endnote>
  <w:endnote w:type="continuationNotice" w:id="1">
    <w:p w14:paraId="29B17146" w14:textId="77777777" w:rsidR="00A3381A" w:rsidRDefault="00A338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452B58" w:rsidRDefault="00452B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452B58" w:rsidRDefault="00452B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452B58" w:rsidRDefault="00452B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C04F" w14:textId="77777777" w:rsidR="00A3381A" w:rsidRDefault="00A3381A">
      <w:pPr>
        <w:rPr>
          <w:kern w:val="2"/>
          <w:sz w:val="22"/>
          <w:szCs w:val="22"/>
          <w:lang w:val="en-US"/>
        </w:rPr>
      </w:pPr>
      <w:r>
        <w:rPr>
          <w:kern w:val="2"/>
          <w:sz w:val="22"/>
          <w:szCs w:val="22"/>
          <w:lang w:val="en-US"/>
        </w:rPr>
        <w:separator/>
      </w:r>
    </w:p>
  </w:footnote>
  <w:footnote w:type="continuationSeparator" w:id="0">
    <w:p w14:paraId="116B1B01" w14:textId="77777777" w:rsidR="00A3381A" w:rsidRDefault="00A3381A">
      <w:pPr>
        <w:rPr>
          <w:kern w:val="2"/>
          <w:sz w:val="22"/>
          <w:szCs w:val="22"/>
          <w:lang w:val="en-US"/>
        </w:rPr>
      </w:pPr>
      <w:r>
        <w:rPr>
          <w:kern w:val="2"/>
          <w:sz w:val="22"/>
          <w:szCs w:val="22"/>
          <w:lang w:val="en-US"/>
        </w:rPr>
        <w:continuationSeparator/>
      </w:r>
    </w:p>
  </w:footnote>
  <w:footnote w:type="continuationNotice" w:id="1">
    <w:p w14:paraId="3B519A92" w14:textId="77777777" w:rsidR="00A3381A" w:rsidRDefault="00A3381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452B58" w:rsidRDefault="00452B58">
    <w:pPr>
      <w:tabs>
        <w:tab w:val="center" w:pos="4680"/>
        <w:tab w:val="right" w:pos="9360"/>
      </w:tabs>
      <w:spacing w:after="160" w:line="259" w:lineRule="auto"/>
      <w:rPr>
        <w:kern w:val="2"/>
        <w:sz w:val="22"/>
        <w:szCs w:val="22"/>
        <w:lang w:val="en-US"/>
      </w:rPr>
    </w:pPr>
  </w:p>
  <w:p w14:paraId="76113438" w14:textId="77777777" w:rsidR="00452B58" w:rsidRDefault="00452B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300DB484" w:rsidR="00452B58" w:rsidRPr="00A10867" w:rsidRDefault="00452B58" w:rsidP="00A10867">
    <w:pPr>
      <w:tabs>
        <w:tab w:val="center" w:pos="4819"/>
        <w:tab w:val="right" w:pos="9638"/>
      </w:tabs>
      <w:jc w:val="center"/>
    </w:pPr>
    <w:r>
      <w:fldChar w:fldCharType="begin"/>
    </w:r>
    <w:r>
      <w:instrText>PAGE   \* MERGEFORMAT</w:instrText>
    </w:r>
    <w:r>
      <w:fldChar w:fldCharType="separate"/>
    </w:r>
    <w:r w:rsidR="006C742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452B58" w:rsidRDefault="00452B5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9041D"/>
    <w:rsid w:val="001930C8"/>
    <w:rsid w:val="001A51C6"/>
    <w:rsid w:val="001A6D1A"/>
    <w:rsid w:val="001B35E7"/>
    <w:rsid w:val="001B40F3"/>
    <w:rsid w:val="002020FD"/>
    <w:rsid w:val="00205CF1"/>
    <w:rsid w:val="00212D4D"/>
    <w:rsid w:val="00213933"/>
    <w:rsid w:val="00221FF2"/>
    <w:rsid w:val="00224C6A"/>
    <w:rsid w:val="00227E09"/>
    <w:rsid w:val="002471E0"/>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49CD"/>
    <w:rsid w:val="003A7061"/>
    <w:rsid w:val="003B50E0"/>
    <w:rsid w:val="003C19E1"/>
    <w:rsid w:val="003D655D"/>
    <w:rsid w:val="003E3B7E"/>
    <w:rsid w:val="00400682"/>
    <w:rsid w:val="00402949"/>
    <w:rsid w:val="004119F3"/>
    <w:rsid w:val="004211FE"/>
    <w:rsid w:val="00447C0F"/>
    <w:rsid w:val="00451E81"/>
    <w:rsid w:val="00452B58"/>
    <w:rsid w:val="00463389"/>
    <w:rsid w:val="00463FD4"/>
    <w:rsid w:val="00473D94"/>
    <w:rsid w:val="00493BE0"/>
    <w:rsid w:val="00495519"/>
    <w:rsid w:val="004B1550"/>
    <w:rsid w:val="004B5B5E"/>
    <w:rsid w:val="004B7C6C"/>
    <w:rsid w:val="004C2263"/>
    <w:rsid w:val="004D3550"/>
    <w:rsid w:val="004E2841"/>
    <w:rsid w:val="004E451D"/>
    <w:rsid w:val="004E58E3"/>
    <w:rsid w:val="004F7696"/>
    <w:rsid w:val="005318D4"/>
    <w:rsid w:val="005322A9"/>
    <w:rsid w:val="00532808"/>
    <w:rsid w:val="00543616"/>
    <w:rsid w:val="00544284"/>
    <w:rsid w:val="005615C8"/>
    <w:rsid w:val="005706D0"/>
    <w:rsid w:val="005725EE"/>
    <w:rsid w:val="005930A4"/>
    <w:rsid w:val="00594BBF"/>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A17F5"/>
    <w:rsid w:val="006B1941"/>
    <w:rsid w:val="006B487B"/>
    <w:rsid w:val="006C3515"/>
    <w:rsid w:val="006C742C"/>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54E8"/>
    <w:rsid w:val="0083635B"/>
    <w:rsid w:val="00841834"/>
    <w:rsid w:val="00841E6C"/>
    <w:rsid w:val="0084328C"/>
    <w:rsid w:val="008529D3"/>
    <w:rsid w:val="00857904"/>
    <w:rsid w:val="008608FF"/>
    <w:rsid w:val="008613DF"/>
    <w:rsid w:val="008674BD"/>
    <w:rsid w:val="008759D0"/>
    <w:rsid w:val="00877637"/>
    <w:rsid w:val="00892571"/>
    <w:rsid w:val="008A5D6C"/>
    <w:rsid w:val="008A7CCE"/>
    <w:rsid w:val="008B3918"/>
    <w:rsid w:val="008C23F1"/>
    <w:rsid w:val="008D19E4"/>
    <w:rsid w:val="008D324F"/>
    <w:rsid w:val="008E049F"/>
    <w:rsid w:val="008E2BEE"/>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381A"/>
    <w:rsid w:val="00A37E45"/>
    <w:rsid w:val="00A43D8F"/>
    <w:rsid w:val="00A50B0F"/>
    <w:rsid w:val="00A63894"/>
    <w:rsid w:val="00A74D18"/>
    <w:rsid w:val="00A81685"/>
    <w:rsid w:val="00A8328C"/>
    <w:rsid w:val="00A84861"/>
    <w:rsid w:val="00A902DE"/>
    <w:rsid w:val="00A9319E"/>
    <w:rsid w:val="00AA0A0D"/>
    <w:rsid w:val="00AA6E7E"/>
    <w:rsid w:val="00AB242D"/>
    <w:rsid w:val="00AC1FC1"/>
    <w:rsid w:val="00AC3FAC"/>
    <w:rsid w:val="00AD1A59"/>
    <w:rsid w:val="00AD385D"/>
    <w:rsid w:val="00AD76F7"/>
    <w:rsid w:val="00AE48AB"/>
    <w:rsid w:val="00B008CC"/>
    <w:rsid w:val="00B02ADF"/>
    <w:rsid w:val="00B07C32"/>
    <w:rsid w:val="00B22860"/>
    <w:rsid w:val="00B24764"/>
    <w:rsid w:val="00B32FD7"/>
    <w:rsid w:val="00B54128"/>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palduniene@mi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ulija.lomonosova@mil.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ofisas@samsona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6255fc34-32b5-4914-9001-6e016d400544"/>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c713a7c-8a7c-4327-be4a-3e364f1677f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100B92D-1938-4188-B173-8E2BCFFD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16180</Words>
  <Characters>92228</Characters>
  <Application>Microsoft Office Word</Application>
  <DocSecurity>4</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2025-10-24T07:39:00Z</dcterms:created>
  <dcterms:modified xsi:type="dcterms:W3CDTF">2025-10-24T07:39:00Z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