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585B" w14:textId="0A5EA366" w:rsidR="00D22346" w:rsidRPr="00856426" w:rsidRDefault="00D22346" w:rsidP="00D22346">
      <w:pPr>
        <w:pStyle w:val="Heading2"/>
        <w:ind w:left="5103"/>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Pr>
          <w:rFonts w:ascii="Times New Roman" w:eastAsia="Calibri" w:hAnsi="Times New Roman" w:cs="Times New Roman"/>
          <w:color w:val="0070C0"/>
          <w:sz w:val="21"/>
          <w:szCs w:val="21"/>
        </w:rPr>
        <w:t>Sutarties</w:t>
      </w:r>
      <w:r w:rsidRPr="00856426">
        <w:rPr>
          <w:rFonts w:ascii="Times New Roman" w:eastAsia="Calibri" w:hAnsi="Times New Roman" w:cs="Times New Roman"/>
          <w:color w:val="0070C0"/>
          <w:sz w:val="21"/>
          <w:szCs w:val="21"/>
        </w:rPr>
        <w:t xml:space="preserve"> sąlygų </w:t>
      </w:r>
      <w:r w:rsidR="00962854">
        <w:rPr>
          <w:rFonts w:ascii="Times New Roman" w:eastAsia="Calibri" w:hAnsi="Times New Roman" w:cs="Times New Roman"/>
          <w:color w:val="0070C0"/>
          <w:sz w:val="21"/>
          <w:szCs w:val="21"/>
        </w:rPr>
        <w:t>1</w:t>
      </w:r>
      <w:r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17A4251E" w14:textId="77777777" w:rsidR="00A874DB" w:rsidRPr="00856426" w:rsidRDefault="00A874DB" w:rsidP="00A874DB">
      <w:pPr>
        <w:jc w:val="center"/>
        <w:rPr>
          <w:rFonts w:ascii="Times New Roman" w:hAnsi="Times New Roman" w:cs="Times New Roman"/>
          <w:b/>
          <w:bCs/>
        </w:rPr>
      </w:pPr>
    </w:p>
    <w:p w14:paraId="0F30B85B" w14:textId="77777777" w:rsidR="00A874DB" w:rsidRPr="00856426" w:rsidRDefault="00A874DB" w:rsidP="00A874DB">
      <w:pPr>
        <w:pStyle w:val="Subtitle"/>
        <w:jc w:val="center"/>
        <w:rPr>
          <w:rFonts w:ascii="Times New Roman" w:hAnsi="Times New Roman" w:cs="Times New Roman"/>
        </w:rPr>
      </w:pPr>
      <w:r w:rsidRPr="00856426">
        <w:rPr>
          <w:rFonts w:ascii="Times New Roman" w:hAnsi="Times New Roman" w:cs="Times New Roman"/>
        </w:rPr>
        <w:t>TECHNINĖ SPECIFIKACIJA</w:t>
      </w:r>
    </w:p>
    <w:tbl>
      <w:tblPr>
        <w:tblStyle w:val="TableGrid"/>
        <w:tblW w:w="11058" w:type="dxa"/>
        <w:tblInd w:w="-998" w:type="dxa"/>
        <w:tblLayout w:type="fixed"/>
        <w:tblLook w:val="04A0" w:firstRow="1" w:lastRow="0" w:firstColumn="1" w:lastColumn="0" w:noHBand="0" w:noVBand="1"/>
      </w:tblPr>
      <w:tblGrid>
        <w:gridCol w:w="861"/>
        <w:gridCol w:w="1408"/>
        <w:gridCol w:w="992"/>
        <w:gridCol w:w="993"/>
        <w:gridCol w:w="2138"/>
        <w:gridCol w:w="839"/>
        <w:gridCol w:w="916"/>
        <w:gridCol w:w="1210"/>
        <w:gridCol w:w="861"/>
        <w:gridCol w:w="840"/>
      </w:tblGrid>
      <w:tr w:rsidR="00A874DB" w:rsidRPr="00856426" w14:paraId="3F5006E0" w14:textId="77777777" w:rsidTr="008B4BBE">
        <w:tc>
          <w:tcPr>
            <w:tcW w:w="861" w:type="dxa"/>
          </w:tcPr>
          <w:p w14:paraId="5B1D4756"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Pirkimo dalies Nr. /No</w:t>
            </w:r>
          </w:p>
        </w:tc>
        <w:tc>
          <w:tcPr>
            <w:tcW w:w="1408" w:type="dxa"/>
          </w:tcPr>
          <w:p w14:paraId="0D4684A3"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Bendrinis vaistinio preparato pavadinimas</w:t>
            </w:r>
          </w:p>
        </w:tc>
        <w:tc>
          <w:tcPr>
            <w:tcW w:w="992" w:type="dxa"/>
          </w:tcPr>
          <w:p w14:paraId="655B253F"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Common name of the medicinal product</w:t>
            </w:r>
          </w:p>
        </w:tc>
        <w:tc>
          <w:tcPr>
            <w:tcW w:w="993" w:type="dxa"/>
          </w:tcPr>
          <w:p w14:paraId="74B0DF64"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Stiprumas/Strength</w:t>
            </w:r>
          </w:p>
        </w:tc>
        <w:tc>
          <w:tcPr>
            <w:tcW w:w="2138" w:type="dxa"/>
          </w:tcPr>
          <w:p w14:paraId="4076E2AF"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Farmacinė forma/Pharmaceutical form</w:t>
            </w:r>
          </w:p>
        </w:tc>
        <w:tc>
          <w:tcPr>
            <w:tcW w:w="839" w:type="dxa"/>
          </w:tcPr>
          <w:p w14:paraId="2BE32805"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 xml:space="preserve">Pakuotė ne mažesnė/Units per package no less than </w:t>
            </w:r>
          </w:p>
        </w:tc>
        <w:tc>
          <w:tcPr>
            <w:tcW w:w="916" w:type="dxa"/>
          </w:tcPr>
          <w:p w14:paraId="4483167E"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Pakuotė ne didesnė nei/ Units per package no more than</w:t>
            </w:r>
          </w:p>
        </w:tc>
        <w:tc>
          <w:tcPr>
            <w:tcW w:w="1210" w:type="dxa"/>
          </w:tcPr>
          <w:p w14:paraId="7402AEF8"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Dozuotės pavadinimas/ Dosage name</w:t>
            </w:r>
          </w:p>
        </w:tc>
        <w:tc>
          <w:tcPr>
            <w:tcW w:w="861" w:type="dxa"/>
          </w:tcPr>
          <w:p w14:paraId="25FF6013"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Planuojamas įsigyti dozuočių preliminarus kiekis / Quantity of dosages planned to be purchased</w:t>
            </w:r>
          </w:p>
        </w:tc>
        <w:tc>
          <w:tcPr>
            <w:tcW w:w="840" w:type="dxa"/>
          </w:tcPr>
          <w:p w14:paraId="511575AB"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Specialiosios laikymo sąlygos</w:t>
            </w:r>
            <w:r>
              <w:rPr>
                <w:rFonts w:hAnsi="Times New Roman" w:cs="Times New Roman"/>
                <w:b/>
                <w:bCs/>
                <w:sz w:val="16"/>
                <w:szCs w:val="16"/>
              </w:rPr>
              <w:t xml:space="preserve"> (temperatūra </w:t>
            </w:r>
            <w:r w:rsidRPr="004273D8">
              <w:rPr>
                <w:rFonts w:hAnsi="Times New Roman" w:cs="Times New Roman"/>
                <w:b/>
                <w:bCs/>
                <w:sz w:val="16"/>
                <w:szCs w:val="16"/>
              </w:rPr>
              <w:t>°C</w:t>
            </w:r>
            <w:r>
              <w:rPr>
                <w:rFonts w:hAnsi="Times New Roman" w:cs="Times New Roman"/>
                <w:b/>
                <w:bCs/>
                <w:sz w:val="16"/>
                <w:szCs w:val="16"/>
              </w:rPr>
              <w:t xml:space="preserve">) </w:t>
            </w:r>
            <w:r w:rsidRPr="00856426">
              <w:rPr>
                <w:rFonts w:hAnsi="Times New Roman" w:cs="Times New Roman"/>
                <w:b/>
                <w:bCs/>
                <w:sz w:val="16"/>
                <w:szCs w:val="16"/>
              </w:rPr>
              <w:t>/</w:t>
            </w:r>
            <w:r>
              <w:rPr>
                <w:rFonts w:hAnsi="Times New Roman" w:cs="Times New Roman"/>
                <w:b/>
                <w:bCs/>
                <w:sz w:val="16"/>
                <w:szCs w:val="16"/>
              </w:rPr>
              <w:t xml:space="preserve"> </w:t>
            </w:r>
            <w:r w:rsidRPr="00856426">
              <w:rPr>
                <w:rFonts w:hAnsi="Times New Roman" w:cs="Times New Roman"/>
                <w:b/>
                <w:bCs/>
                <w:sz w:val="16"/>
                <w:szCs w:val="16"/>
              </w:rPr>
              <w:t>Storage conditions</w:t>
            </w:r>
            <w:r>
              <w:rPr>
                <w:rFonts w:hAnsi="Times New Roman" w:cs="Times New Roman"/>
                <w:b/>
                <w:bCs/>
                <w:sz w:val="16"/>
                <w:szCs w:val="16"/>
              </w:rPr>
              <w:t xml:space="preserve"> (temperature </w:t>
            </w:r>
            <w:r w:rsidRPr="004273D8">
              <w:rPr>
                <w:rFonts w:hAnsi="Times New Roman" w:cs="Times New Roman"/>
                <w:b/>
                <w:bCs/>
                <w:sz w:val="16"/>
                <w:szCs w:val="16"/>
              </w:rPr>
              <w:t>°C</w:t>
            </w:r>
            <w:r>
              <w:rPr>
                <w:rFonts w:hAnsi="Times New Roman" w:cs="Times New Roman"/>
                <w:b/>
                <w:bCs/>
                <w:sz w:val="16"/>
                <w:szCs w:val="16"/>
              </w:rPr>
              <w:t>)</w:t>
            </w:r>
          </w:p>
        </w:tc>
      </w:tr>
      <w:tr w:rsidR="00A874DB" w:rsidRPr="00856426" w14:paraId="17E6B068" w14:textId="77777777" w:rsidTr="008B4BBE">
        <w:tc>
          <w:tcPr>
            <w:tcW w:w="861" w:type="dxa"/>
          </w:tcPr>
          <w:p w14:paraId="1C35445F" w14:textId="71E4DAE9" w:rsidR="00A874DB" w:rsidRPr="00257ADC" w:rsidRDefault="00257ADC" w:rsidP="00257ADC">
            <w:pPr>
              <w:spacing w:line="240" w:lineRule="auto"/>
              <w:ind w:left="360"/>
              <w:rPr>
                <w:rFonts w:hAnsi="Times New Roman" w:cs="Times New Roman"/>
                <w:sz w:val="16"/>
                <w:szCs w:val="16"/>
              </w:rPr>
            </w:pPr>
            <w:r>
              <w:rPr>
                <w:rFonts w:hAnsi="Times New Roman" w:cs="Times New Roman"/>
                <w:sz w:val="16"/>
                <w:szCs w:val="16"/>
              </w:rPr>
              <w:t>4</w:t>
            </w:r>
          </w:p>
        </w:tc>
        <w:tc>
          <w:tcPr>
            <w:tcW w:w="1408" w:type="dxa"/>
            <w:vAlign w:val="bottom"/>
          </w:tcPr>
          <w:p w14:paraId="428CA197"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Diazepamas</w:t>
            </w:r>
          </w:p>
        </w:tc>
        <w:tc>
          <w:tcPr>
            <w:tcW w:w="992" w:type="dxa"/>
            <w:vAlign w:val="bottom"/>
          </w:tcPr>
          <w:p w14:paraId="281FF6B9"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Diazepam</w:t>
            </w:r>
          </w:p>
        </w:tc>
        <w:tc>
          <w:tcPr>
            <w:tcW w:w="993" w:type="dxa"/>
            <w:vAlign w:val="bottom"/>
          </w:tcPr>
          <w:p w14:paraId="6D48DB04"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5 mg/ml</w:t>
            </w:r>
          </w:p>
        </w:tc>
        <w:tc>
          <w:tcPr>
            <w:tcW w:w="2138" w:type="dxa"/>
            <w:vAlign w:val="bottom"/>
          </w:tcPr>
          <w:p w14:paraId="1F07110E"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injekcinis tirpalas / solution for injection</w:t>
            </w:r>
          </w:p>
        </w:tc>
        <w:tc>
          <w:tcPr>
            <w:tcW w:w="839" w:type="dxa"/>
            <w:vAlign w:val="bottom"/>
          </w:tcPr>
          <w:p w14:paraId="6D260F70"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50</w:t>
            </w:r>
          </w:p>
        </w:tc>
        <w:tc>
          <w:tcPr>
            <w:tcW w:w="916" w:type="dxa"/>
            <w:vAlign w:val="bottom"/>
          </w:tcPr>
          <w:p w14:paraId="682B3538"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50</w:t>
            </w:r>
          </w:p>
        </w:tc>
        <w:tc>
          <w:tcPr>
            <w:tcW w:w="1210" w:type="dxa"/>
            <w:vAlign w:val="bottom"/>
          </w:tcPr>
          <w:p w14:paraId="5CA59729"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ampulė / ampoule</w:t>
            </w:r>
          </w:p>
        </w:tc>
        <w:tc>
          <w:tcPr>
            <w:tcW w:w="861" w:type="dxa"/>
            <w:vAlign w:val="bottom"/>
          </w:tcPr>
          <w:p w14:paraId="57A4D65C"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58200</w:t>
            </w:r>
          </w:p>
        </w:tc>
        <w:tc>
          <w:tcPr>
            <w:tcW w:w="840" w:type="dxa"/>
            <w:vAlign w:val="bottom"/>
          </w:tcPr>
          <w:p w14:paraId="69C078C9" w14:textId="77777777" w:rsidR="00A874DB" w:rsidRPr="00856426" w:rsidRDefault="00A874DB" w:rsidP="008B4BBE">
            <w:pPr>
              <w:rPr>
                <w:rFonts w:hAnsi="Times New Roman" w:cs="Times New Roman"/>
                <w:sz w:val="16"/>
                <w:szCs w:val="16"/>
              </w:rPr>
            </w:pPr>
            <w:r>
              <w:rPr>
                <w:rFonts w:hAnsi="Times New Roman" w:cs="Times New Roman"/>
                <w:color w:val="000000"/>
                <w:sz w:val="16"/>
                <w:szCs w:val="16"/>
              </w:rPr>
              <w:t>15-</w:t>
            </w:r>
            <w:r w:rsidRPr="00856426">
              <w:rPr>
                <w:rFonts w:hAnsi="Times New Roman" w:cs="Times New Roman"/>
                <w:color w:val="000000"/>
                <w:sz w:val="16"/>
                <w:szCs w:val="16"/>
              </w:rPr>
              <w:t>25</w:t>
            </w:r>
          </w:p>
        </w:tc>
      </w:tr>
    </w:tbl>
    <w:p w14:paraId="0CA93C40" w14:textId="77777777" w:rsidR="00A874DB" w:rsidRPr="00856426" w:rsidRDefault="00A874DB" w:rsidP="00A874DB">
      <w:pPr>
        <w:ind w:left="-851"/>
        <w:jc w:val="both"/>
        <w:rPr>
          <w:rFonts w:ascii="Times New Roman" w:hAnsi="Times New Roman" w:cs="Times New Roman"/>
          <w:sz w:val="20"/>
          <w:szCs w:val="20"/>
        </w:rPr>
      </w:pPr>
    </w:p>
    <w:p w14:paraId="53791946" w14:textId="77777777" w:rsidR="00A874DB" w:rsidRPr="00856426" w:rsidRDefault="00A874DB" w:rsidP="00A874DB">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0" w:type="auto"/>
        <w:tblInd w:w="-714" w:type="dxa"/>
        <w:tblLook w:val="04A0" w:firstRow="1" w:lastRow="0" w:firstColumn="1" w:lastColumn="0" w:noHBand="0" w:noVBand="1"/>
      </w:tblPr>
      <w:tblGrid>
        <w:gridCol w:w="1123"/>
        <w:gridCol w:w="4566"/>
        <w:gridCol w:w="4653"/>
      </w:tblGrid>
      <w:tr w:rsidR="00A874DB" w:rsidRPr="00856426" w14:paraId="03F14D1A" w14:textId="77777777" w:rsidTr="008B4BBE">
        <w:trPr>
          <w:trHeight w:val="539"/>
        </w:trPr>
        <w:tc>
          <w:tcPr>
            <w:tcW w:w="1135" w:type="dxa"/>
          </w:tcPr>
          <w:p w14:paraId="67CB6AD8" w14:textId="77777777" w:rsidR="00A874DB" w:rsidRPr="00856426" w:rsidRDefault="00A874DB" w:rsidP="008B4BBE">
            <w:pPr>
              <w:rPr>
                <w:b/>
                <w:bCs/>
              </w:rPr>
            </w:pPr>
            <w:r w:rsidRPr="00856426">
              <w:rPr>
                <w:b/>
                <w:bCs/>
              </w:rPr>
              <w:t>Nr./No.</w:t>
            </w:r>
          </w:p>
        </w:tc>
        <w:tc>
          <w:tcPr>
            <w:tcW w:w="4704" w:type="dxa"/>
          </w:tcPr>
          <w:p w14:paraId="01CEC733" w14:textId="77777777" w:rsidR="00A874DB" w:rsidRPr="00856426" w:rsidRDefault="00A874DB" w:rsidP="008B4BBE">
            <w:pPr>
              <w:rPr>
                <w:rFonts w:hAnsi="Times New Roman" w:cs="Times New Roman"/>
                <w:b/>
                <w:bCs/>
              </w:rPr>
            </w:pPr>
            <w:r w:rsidRPr="00856426">
              <w:rPr>
                <w:rFonts w:hAnsi="Times New Roman" w:cs="Times New Roman"/>
                <w:b/>
                <w:bCs/>
              </w:rPr>
              <w:t>Lietuvių kalba</w:t>
            </w:r>
          </w:p>
        </w:tc>
        <w:tc>
          <w:tcPr>
            <w:tcW w:w="4793" w:type="dxa"/>
          </w:tcPr>
          <w:p w14:paraId="74BCA420" w14:textId="77777777" w:rsidR="00A874DB" w:rsidRPr="00856426" w:rsidRDefault="00A874DB" w:rsidP="008B4BBE">
            <w:pPr>
              <w:rPr>
                <w:b/>
                <w:bCs/>
              </w:rPr>
            </w:pPr>
            <w:r w:rsidRPr="00856426">
              <w:rPr>
                <w:b/>
                <w:bCs/>
              </w:rPr>
              <w:t>English*</w:t>
            </w:r>
          </w:p>
        </w:tc>
      </w:tr>
      <w:tr w:rsidR="00A874DB" w:rsidRPr="00856426" w14:paraId="35E3B2C7" w14:textId="77777777" w:rsidTr="008B4BBE">
        <w:tc>
          <w:tcPr>
            <w:tcW w:w="1135" w:type="dxa"/>
          </w:tcPr>
          <w:p w14:paraId="5B279105"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17F35DF6" w14:textId="77777777" w:rsidR="00A874DB" w:rsidRPr="00856426" w:rsidRDefault="00A874DB" w:rsidP="008B4BBE">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6E68647B" w14:textId="77777777" w:rsidR="00A874DB" w:rsidRPr="00856426" w:rsidRDefault="00A874DB" w:rsidP="008B4BBE">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874DB" w:rsidRPr="00856426" w14:paraId="47809E6E" w14:textId="77777777" w:rsidTr="008B4BBE">
        <w:tc>
          <w:tcPr>
            <w:tcW w:w="1135" w:type="dxa"/>
          </w:tcPr>
          <w:p w14:paraId="7B4E4BF0"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05C4399E" w14:textId="77777777" w:rsidR="00A874DB" w:rsidRPr="00856426" w:rsidRDefault="00A874DB" w:rsidP="008B4BBE">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53E30697" w14:textId="77777777" w:rsidR="00A874DB" w:rsidRPr="00856426" w:rsidRDefault="00A874DB" w:rsidP="008B4BBE">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874DB" w:rsidRPr="00856426" w14:paraId="576A6477" w14:textId="77777777" w:rsidTr="008B4BBE">
        <w:tc>
          <w:tcPr>
            <w:tcW w:w="1135" w:type="dxa"/>
          </w:tcPr>
          <w:p w14:paraId="2C4AB80E"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4983BF9C" w14:textId="77777777" w:rsidR="00A874DB" w:rsidRPr="00856426" w:rsidRDefault="00A874DB" w:rsidP="008B4BBE">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w:t>
            </w:r>
            <w:r w:rsidRPr="00856426">
              <w:lastRenderedPageBreak/>
              <w:t>autenti</w:t>
            </w:r>
            <w:r w:rsidRPr="00856426">
              <w:t>š</w:t>
            </w:r>
            <w:r w:rsidRPr="00856426">
              <w:t>kumo patikrinimas kaip numatyta 2015 m. spalio 2 d Komisijos deleguotame reglamente (ES) 2016/161.</w:t>
            </w:r>
          </w:p>
        </w:tc>
        <w:tc>
          <w:tcPr>
            <w:tcW w:w="4793" w:type="dxa"/>
          </w:tcPr>
          <w:p w14:paraId="5E5AAB4C" w14:textId="77777777" w:rsidR="00A874DB" w:rsidRPr="00856426" w:rsidRDefault="00A874DB" w:rsidP="008B4BBE">
            <w:pPr>
              <w:jc w:val="both"/>
            </w:pPr>
            <w:r w:rsidRPr="00856426">
              <w:lastRenderedPageBreak/>
              <w:t xml:space="preserve">Supplied medicinal product packaging must be protected by security measures, and identification and authenticity verification is required as per 2015 </w:t>
            </w:r>
            <w:r w:rsidRPr="00856426">
              <w:lastRenderedPageBreak/>
              <w:t>October 2nd Commission delegated regulation (ES) 2016/161.</w:t>
            </w:r>
          </w:p>
        </w:tc>
      </w:tr>
      <w:tr w:rsidR="00A874DB" w:rsidRPr="00856426" w14:paraId="1E761212" w14:textId="77777777" w:rsidTr="008B4BBE">
        <w:tc>
          <w:tcPr>
            <w:tcW w:w="1135" w:type="dxa"/>
          </w:tcPr>
          <w:p w14:paraId="279D0B9D" w14:textId="77777777" w:rsidR="00A874DB" w:rsidRPr="00856426" w:rsidRDefault="00A874DB" w:rsidP="008B4BBE">
            <w:pPr>
              <w:jc w:val="center"/>
            </w:pPr>
            <w:r w:rsidRPr="00856426">
              <w:lastRenderedPageBreak/>
              <w:t>4.</w:t>
            </w:r>
          </w:p>
        </w:tc>
        <w:tc>
          <w:tcPr>
            <w:tcW w:w="4704" w:type="dxa"/>
          </w:tcPr>
          <w:p w14:paraId="4ED34C78" w14:textId="77777777" w:rsidR="00A874DB" w:rsidRPr="00856426" w:rsidRDefault="00A874DB" w:rsidP="008B4BBE">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1B29678B" w14:textId="77777777" w:rsidR="00A874DB" w:rsidRPr="00856426" w:rsidRDefault="00A874DB" w:rsidP="008B4BBE">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A874DB" w:rsidRPr="00856426" w14:paraId="6B0137B2" w14:textId="77777777" w:rsidTr="008B4BBE">
        <w:tc>
          <w:tcPr>
            <w:tcW w:w="1135" w:type="dxa"/>
          </w:tcPr>
          <w:p w14:paraId="329FF676" w14:textId="77777777" w:rsidR="00A874DB" w:rsidRPr="00856426" w:rsidRDefault="00A874DB" w:rsidP="008B4BBE">
            <w:pPr>
              <w:jc w:val="center"/>
            </w:pPr>
            <w:r w:rsidRPr="00856426">
              <w:t>5.</w:t>
            </w:r>
          </w:p>
        </w:tc>
        <w:tc>
          <w:tcPr>
            <w:tcW w:w="4704" w:type="dxa"/>
            <w:tcBorders>
              <w:bottom w:val="single" w:sz="4" w:space="0" w:color="auto"/>
            </w:tcBorders>
          </w:tcPr>
          <w:p w14:paraId="3DBED001" w14:textId="77777777" w:rsidR="00A874DB" w:rsidRPr="00856426" w:rsidRDefault="00A874DB" w:rsidP="008B4BBE">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5C3E869C" w14:textId="77777777" w:rsidR="00A874DB" w:rsidRPr="00856426" w:rsidRDefault="00A874DB" w:rsidP="008B4BBE">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65BEFD1D" w14:textId="77777777" w:rsidR="00A874DB" w:rsidRPr="00856426" w:rsidRDefault="00A874DB" w:rsidP="008B4BBE">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874DB" w:rsidRPr="00856426" w14:paraId="53BD498D" w14:textId="77777777" w:rsidTr="008B4BBE">
        <w:tc>
          <w:tcPr>
            <w:tcW w:w="1135" w:type="dxa"/>
          </w:tcPr>
          <w:p w14:paraId="28C292AA" w14:textId="77777777" w:rsidR="00A874DB" w:rsidRPr="00856426" w:rsidRDefault="00A874DB" w:rsidP="008B4BBE">
            <w:pPr>
              <w:jc w:val="center"/>
            </w:pPr>
            <w:r w:rsidRPr="00856426">
              <w:t>6.</w:t>
            </w:r>
          </w:p>
        </w:tc>
        <w:tc>
          <w:tcPr>
            <w:tcW w:w="4704" w:type="dxa"/>
          </w:tcPr>
          <w:p w14:paraId="4B8145EB" w14:textId="77777777" w:rsidR="00A874DB" w:rsidRPr="00856426" w:rsidRDefault="00A874DB" w:rsidP="008B4BBE">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t>60</w:t>
            </w:r>
            <w:r w:rsidRPr="00230D6E">
              <w:t xml:space="preserve"> cm.</w:t>
            </w:r>
          </w:p>
        </w:tc>
        <w:tc>
          <w:tcPr>
            <w:tcW w:w="4793" w:type="dxa"/>
          </w:tcPr>
          <w:p w14:paraId="3964311F" w14:textId="77777777" w:rsidR="00A874DB" w:rsidRPr="00856426" w:rsidRDefault="00A874DB" w:rsidP="008B4BBE">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w:t>
            </w:r>
            <w:r>
              <w:t>60</w:t>
            </w:r>
            <w:r w:rsidRPr="00BA0E7B">
              <w:t xml:space="preserve"> cm.</w:t>
            </w:r>
          </w:p>
        </w:tc>
      </w:tr>
      <w:tr w:rsidR="00A874DB" w:rsidRPr="00856426" w14:paraId="46614B87" w14:textId="77777777" w:rsidTr="008B4BBE">
        <w:tc>
          <w:tcPr>
            <w:tcW w:w="1135" w:type="dxa"/>
          </w:tcPr>
          <w:p w14:paraId="1FBB9784" w14:textId="77777777" w:rsidR="00A874DB" w:rsidRPr="00856426" w:rsidRDefault="00A874DB" w:rsidP="008B4BBE">
            <w:pPr>
              <w:jc w:val="center"/>
            </w:pPr>
            <w:r w:rsidRPr="00856426">
              <w:t>7.</w:t>
            </w:r>
          </w:p>
        </w:tc>
        <w:tc>
          <w:tcPr>
            <w:tcW w:w="4704" w:type="dxa"/>
          </w:tcPr>
          <w:p w14:paraId="7AB06F01" w14:textId="77777777" w:rsidR="00A874DB" w:rsidRPr="00856426" w:rsidRDefault="00A874DB" w:rsidP="008B4BBE">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5D9F6136" w14:textId="77777777" w:rsidR="00A874DB" w:rsidRPr="00856426" w:rsidRDefault="00A874DB" w:rsidP="008B4BBE">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874DB" w:rsidRPr="00856426" w14:paraId="3C42BA63" w14:textId="77777777" w:rsidTr="008B4BBE">
        <w:tc>
          <w:tcPr>
            <w:tcW w:w="1135" w:type="dxa"/>
          </w:tcPr>
          <w:p w14:paraId="1D9B5E00" w14:textId="77777777" w:rsidR="00A874DB" w:rsidRPr="00856426" w:rsidRDefault="00A874DB" w:rsidP="008B4BBE">
            <w:pPr>
              <w:jc w:val="center"/>
            </w:pPr>
            <w:r w:rsidRPr="00856426">
              <w:t>8.</w:t>
            </w:r>
          </w:p>
        </w:tc>
        <w:tc>
          <w:tcPr>
            <w:tcW w:w="4704" w:type="dxa"/>
          </w:tcPr>
          <w:p w14:paraId="6C71E550" w14:textId="77777777" w:rsidR="00A874DB" w:rsidRPr="00856426" w:rsidRDefault="00A874DB" w:rsidP="008B4BBE">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w:t>
            </w:r>
            <w:r w:rsidRPr="00856426">
              <w:lastRenderedPageBreak/>
              <w:t xml:space="preserve">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68771A8E" w14:textId="77777777" w:rsidR="00A874DB" w:rsidRPr="00856426" w:rsidRDefault="00A874DB" w:rsidP="008B4BBE">
            <w:pPr>
              <w:jc w:val="both"/>
            </w:pPr>
            <w:r w:rsidRPr="00856426">
              <w:lastRenderedPageBreak/>
              <w:t xml:space="preserve">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w:t>
            </w:r>
            <w:r w:rsidRPr="00856426">
              <w:lastRenderedPageBreak/>
              <w:t>Customer's warehouse. Monitoring equipment shall be included in each delivered shipment.</w:t>
            </w:r>
          </w:p>
        </w:tc>
      </w:tr>
      <w:tr w:rsidR="00A874DB" w:rsidRPr="00856426" w14:paraId="6ED4FD90" w14:textId="77777777" w:rsidTr="008B4BBE">
        <w:tc>
          <w:tcPr>
            <w:tcW w:w="1135" w:type="dxa"/>
          </w:tcPr>
          <w:p w14:paraId="66F54B05" w14:textId="77777777" w:rsidR="00A874DB" w:rsidRPr="00856426" w:rsidRDefault="00A874DB" w:rsidP="008B4BBE">
            <w:pPr>
              <w:jc w:val="center"/>
            </w:pPr>
            <w:r w:rsidRPr="00856426">
              <w:lastRenderedPageBreak/>
              <w:t>9.</w:t>
            </w:r>
          </w:p>
        </w:tc>
        <w:tc>
          <w:tcPr>
            <w:tcW w:w="4704" w:type="dxa"/>
          </w:tcPr>
          <w:p w14:paraId="6B4BDD99" w14:textId="77777777" w:rsidR="00A874DB" w:rsidRPr="00856426" w:rsidRDefault="00A874DB" w:rsidP="008B4BBE">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58812E2B" w14:textId="77777777" w:rsidR="00A874DB" w:rsidRPr="00856426" w:rsidRDefault="00A874DB" w:rsidP="008B4BBE">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874DB" w:rsidRPr="00856426" w14:paraId="4D74EE7F" w14:textId="77777777" w:rsidTr="008B4BBE">
        <w:tc>
          <w:tcPr>
            <w:tcW w:w="1135" w:type="dxa"/>
          </w:tcPr>
          <w:p w14:paraId="7C106443" w14:textId="77777777" w:rsidR="00A874DB" w:rsidRPr="00856426" w:rsidRDefault="00A874DB" w:rsidP="008B4BBE">
            <w:pPr>
              <w:jc w:val="center"/>
            </w:pPr>
            <w:r w:rsidRPr="00856426">
              <w:t>10.</w:t>
            </w:r>
          </w:p>
        </w:tc>
        <w:tc>
          <w:tcPr>
            <w:tcW w:w="4704" w:type="dxa"/>
          </w:tcPr>
          <w:p w14:paraId="1BE34E5C" w14:textId="77777777" w:rsidR="00A874DB" w:rsidRPr="00856426" w:rsidRDefault="00A874DB" w:rsidP="008B4BBE">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7A41E82D" w14:textId="77777777" w:rsidR="00A874DB" w:rsidRPr="00856426" w:rsidRDefault="00A874DB" w:rsidP="008B4BBE">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874DB" w:rsidRPr="00856426" w14:paraId="798BF5C4" w14:textId="77777777" w:rsidTr="008B4BBE">
        <w:tc>
          <w:tcPr>
            <w:tcW w:w="1135" w:type="dxa"/>
          </w:tcPr>
          <w:p w14:paraId="19EE6A90" w14:textId="77777777" w:rsidR="00A874DB" w:rsidRPr="00856426" w:rsidRDefault="00A874DB" w:rsidP="008B4BBE">
            <w:pPr>
              <w:jc w:val="center"/>
            </w:pPr>
            <w:r w:rsidRPr="00856426">
              <w:t>11.</w:t>
            </w:r>
          </w:p>
        </w:tc>
        <w:tc>
          <w:tcPr>
            <w:tcW w:w="4704" w:type="dxa"/>
          </w:tcPr>
          <w:p w14:paraId="6A7AC36B" w14:textId="77777777" w:rsidR="00A874DB" w:rsidRPr="00856426" w:rsidRDefault="00A874DB" w:rsidP="008B4BBE">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02A7C70D" w14:textId="77777777" w:rsidR="00A874DB" w:rsidRPr="00856426" w:rsidRDefault="00A874DB" w:rsidP="008B4BBE">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874DB" w:rsidRPr="00856426" w14:paraId="04440C48" w14:textId="77777777" w:rsidTr="008B4BBE">
        <w:tc>
          <w:tcPr>
            <w:tcW w:w="1135" w:type="dxa"/>
          </w:tcPr>
          <w:p w14:paraId="09605B51" w14:textId="77777777" w:rsidR="00A874DB" w:rsidRPr="00856426" w:rsidRDefault="00A874DB" w:rsidP="008B4BBE">
            <w:pPr>
              <w:jc w:val="center"/>
            </w:pPr>
            <w:r w:rsidRPr="00856426">
              <w:t>12.</w:t>
            </w:r>
          </w:p>
        </w:tc>
        <w:tc>
          <w:tcPr>
            <w:tcW w:w="4704" w:type="dxa"/>
          </w:tcPr>
          <w:p w14:paraId="509BE740" w14:textId="77777777" w:rsidR="00A874DB" w:rsidRPr="00856426" w:rsidRDefault="00A874DB" w:rsidP="008B4BBE">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08035E44" w14:textId="77777777" w:rsidR="00A874DB" w:rsidRPr="00856426" w:rsidRDefault="00A874DB" w:rsidP="008B4BBE">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874DB" w:rsidRPr="00856426" w14:paraId="6250AE95" w14:textId="77777777" w:rsidTr="008B4BBE">
        <w:tc>
          <w:tcPr>
            <w:tcW w:w="1135" w:type="dxa"/>
          </w:tcPr>
          <w:p w14:paraId="4197D4C3" w14:textId="77777777" w:rsidR="00A874DB" w:rsidRPr="00856426" w:rsidRDefault="00A874DB" w:rsidP="008B4BBE">
            <w:pPr>
              <w:jc w:val="center"/>
            </w:pPr>
            <w:r w:rsidRPr="00856426">
              <w:t>13.</w:t>
            </w:r>
          </w:p>
        </w:tc>
        <w:tc>
          <w:tcPr>
            <w:tcW w:w="4704" w:type="dxa"/>
          </w:tcPr>
          <w:p w14:paraId="78CA15ED" w14:textId="77777777" w:rsidR="00A874DB" w:rsidRPr="00856426" w:rsidRDefault="00A874DB" w:rsidP="008B4BBE">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793" w:type="dxa"/>
          </w:tcPr>
          <w:p w14:paraId="7BB8242C" w14:textId="77777777" w:rsidR="00A874DB" w:rsidRPr="00856426" w:rsidRDefault="00A874DB" w:rsidP="008B4BBE">
            <w:pPr>
              <w:jc w:val="both"/>
            </w:pPr>
            <w:r w:rsidRPr="00856426">
              <w:t>The Buyer has the right to request documents confirming the quality of the medicinal product.</w:t>
            </w:r>
          </w:p>
        </w:tc>
      </w:tr>
    </w:tbl>
    <w:p w14:paraId="4C467B0C" w14:textId="77777777" w:rsidR="00A874DB" w:rsidRDefault="00A874DB" w:rsidP="00A874DB">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w:t>
      </w:r>
      <w:r w:rsidRPr="00856426">
        <w:rPr>
          <w:rFonts w:ascii="Times New Roman" w:hAnsi="Times New Roman" w:cs="Times New Roman"/>
        </w:rPr>
        <w:lastRenderedPageBreak/>
        <w:t xml:space="preserve">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46EB4AEF" w14:textId="77777777" w:rsidR="00A874DB" w:rsidRPr="00765BC2" w:rsidRDefault="00A874DB" w:rsidP="00A874DB">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4BA688EB" w14:textId="77777777" w:rsidR="00A874DB" w:rsidRPr="00856426" w:rsidRDefault="00A874DB" w:rsidP="00A874DB">
      <w:pPr>
        <w:ind w:left="-70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p w14:paraId="4EDF6DE5" w14:textId="77777777" w:rsidR="00A874DB" w:rsidRPr="00856426" w:rsidRDefault="00A874DB" w:rsidP="00A874DB">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0112FA8E" w14:textId="77777777" w:rsidR="000A489F" w:rsidRDefault="000A489F"/>
    <w:sectPr w:rsidR="000A48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1"/>
  </w:num>
  <w:num w:numId="2" w16cid:durableId="83167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DB"/>
    <w:rsid w:val="000A489F"/>
    <w:rsid w:val="00257ADC"/>
    <w:rsid w:val="003668D6"/>
    <w:rsid w:val="004E5CCB"/>
    <w:rsid w:val="00755C27"/>
    <w:rsid w:val="008D0260"/>
    <w:rsid w:val="00962854"/>
    <w:rsid w:val="00A55614"/>
    <w:rsid w:val="00A874DB"/>
    <w:rsid w:val="00C969A8"/>
    <w:rsid w:val="00D22346"/>
    <w:rsid w:val="00DF0D90"/>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C0F6"/>
  <w15:chartTrackingRefBased/>
  <w15:docId w15:val="{EC8C8F32-4BA6-4AF3-8EF8-13FEEF97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D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87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4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4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4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4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4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4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4DB"/>
    <w:rPr>
      <w:rFonts w:eastAsiaTheme="majorEastAsia" w:cstheme="majorBidi"/>
      <w:color w:val="272727" w:themeColor="text1" w:themeTint="D8"/>
    </w:rPr>
  </w:style>
  <w:style w:type="paragraph" w:styleId="Title">
    <w:name w:val="Title"/>
    <w:basedOn w:val="Normal"/>
    <w:next w:val="Normal"/>
    <w:link w:val="TitleChar"/>
    <w:uiPriority w:val="10"/>
    <w:qFormat/>
    <w:rsid w:val="00A8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4DB"/>
    <w:pPr>
      <w:spacing w:before="160"/>
      <w:jc w:val="center"/>
    </w:pPr>
    <w:rPr>
      <w:i/>
      <w:iCs/>
      <w:color w:val="404040" w:themeColor="text1" w:themeTint="BF"/>
    </w:rPr>
  </w:style>
  <w:style w:type="character" w:customStyle="1" w:styleId="QuoteChar">
    <w:name w:val="Quote Char"/>
    <w:basedOn w:val="DefaultParagraphFont"/>
    <w:link w:val="Quote"/>
    <w:uiPriority w:val="29"/>
    <w:rsid w:val="00A874D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874DB"/>
    <w:pPr>
      <w:ind w:left="720"/>
      <w:contextualSpacing/>
    </w:pPr>
  </w:style>
  <w:style w:type="character" w:styleId="IntenseEmphasis">
    <w:name w:val="Intense Emphasis"/>
    <w:basedOn w:val="DefaultParagraphFont"/>
    <w:uiPriority w:val="21"/>
    <w:qFormat/>
    <w:rsid w:val="00A874DB"/>
    <w:rPr>
      <w:i/>
      <w:iCs/>
      <w:color w:val="2F5496" w:themeColor="accent1" w:themeShade="BF"/>
    </w:rPr>
  </w:style>
  <w:style w:type="paragraph" w:styleId="IntenseQuote">
    <w:name w:val="Intense Quote"/>
    <w:basedOn w:val="Normal"/>
    <w:next w:val="Normal"/>
    <w:link w:val="IntenseQuoteChar"/>
    <w:uiPriority w:val="30"/>
    <w:qFormat/>
    <w:rsid w:val="00A87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4DB"/>
    <w:rPr>
      <w:i/>
      <w:iCs/>
      <w:color w:val="2F5496" w:themeColor="accent1" w:themeShade="BF"/>
    </w:rPr>
  </w:style>
  <w:style w:type="character" w:styleId="IntenseReference">
    <w:name w:val="Intense Reference"/>
    <w:basedOn w:val="DefaultParagraphFont"/>
    <w:uiPriority w:val="32"/>
    <w:qFormat/>
    <w:rsid w:val="00A874DB"/>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74DB"/>
  </w:style>
  <w:style w:type="table" w:styleId="TableGrid">
    <w:name w:val="Table Grid"/>
    <w:basedOn w:val="TableNormal"/>
    <w:uiPriority w:val="59"/>
    <w:rsid w:val="00A874D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Justina Vilkaitienė</cp:lastModifiedBy>
  <cp:revision>5</cp:revision>
  <dcterms:created xsi:type="dcterms:W3CDTF">2025-06-30T16:57:00Z</dcterms:created>
  <dcterms:modified xsi:type="dcterms:W3CDTF">2025-07-01T13:12:00Z</dcterms:modified>
</cp:coreProperties>
</file>