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397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ygrbc5f3sk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Pirkimo sąlygų 9 priedas „Specialistų sąrašas“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(už pirkimo sutarties vykdymą atsakingų specialistų sąrašo forma)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 PIRKIMO SUTARTIES VYKDYMĄ ATSAKINGŲ SPECIALISTŲ SĄRAŠAS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342" w:tblpY="1"/>
        <w:tblW w:w="97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2415"/>
        <w:gridCol w:w="6930"/>
        <w:tblGridChange w:id="0">
          <w:tblGrid>
            <w:gridCol w:w="420"/>
            <w:gridCol w:w="2415"/>
            <w:gridCol w:w="693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ind w:left="-120" w:right="-10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Eil. Nr.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Specialisto vardas, pavardė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Paslaugų teikimo tiekėjui teisinė forma (darbo sutartis, ketinimų protokolas ar kt.) bei esama (-os) darbovietė (-ės)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Serhii Shevchenko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UAB “MedUS Medical” technikos inžinierius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851"/>
              </w:tabs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Vytautas Andrušaitis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UAB “MedUS Medical” IVD padalinio pardavimų vadovas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cs="Times New Roman" w:eastAsia="SimSun" w:hAnsi="Times New Roman"/>
      <w:kern w:val="0"/>
      <w:sz w:val="20"/>
      <w:szCs w:val="20"/>
      <w:lang w:eastAsia="lt-L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taisymai">
    <w:name w:val="Revision"/>
    <w:hidden w:val="1"/>
    <w:uiPriority w:val="99"/>
    <w:semiHidden w:val="1"/>
    <w:rsid w:val="001C66A7"/>
    <w:pPr>
      <w:spacing w:after="0" w:line="240" w:lineRule="auto"/>
    </w:pPr>
    <w:rPr>
      <w:rFonts w:ascii="Calibri" w:cs="Calibri" w:eastAsia="SimSun" w:hAnsi="Calibri"/>
      <w:kern w:val="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OrkMZNrSy6qi/4FeU+BjHdHLw==">CgMxLjAyDmguOHlncmJjNWYzc2tuOAByITFtZW84WlV4Tnl4eEpVdGp6RzBwS2JlSHY1M09XbXplbQ==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