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D6B0" w14:textId="77777777" w:rsidR="00820343" w:rsidRDefault="00820343" w:rsidP="00820343">
      <w:pPr>
        <w:widowControl w:val="0"/>
        <w:suppressAutoHyphens/>
        <w:spacing w:after="0" w:line="240" w:lineRule="auto"/>
        <w:jc w:val="center"/>
        <w:rPr>
          <w:rFonts w:ascii="Montserrat" w:eastAsia="Calibri" w:hAnsi="Montserrat" w:cs="Arial"/>
          <w:b/>
          <w:sz w:val="20"/>
          <w:szCs w:val="20"/>
          <w:lang w:val="lt-LT"/>
        </w:rPr>
      </w:pPr>
      <w:r w:rsidRPr="00D64DC4">
        <w:rPr>
          <w:rFonts w:ascii="Montserrat" w:eastAsia="Calibri" w:hAnsi="Montserrat" w:cs="Arial"/>
          <w:b/>
          <w:sz w:val="20"/>
          <w:szCs w:val="20"/>
          <w:lang w:val="lt-LT"/>
        </w:rPr>
        <w:t>BILIETŲ AUTOMATŲ ATSARGIN</w:t>
      </w:r>
      <w:r>
        <w:rPr>
          <w:rFonts w:ascii="Montserrat" w:eastAsia="Calibri" w:hAnsi="Montserrat" w:cs="Arial"/>
          <w:b/>
          <w:sz w:val="20"/>
          <w:szCs w:val="20"/>
          <w:lang w:val="lt-LT"/>
        </w:rPr>
        <w:t>IŲ</w:t>
      </w:r>
      <w:r w:rsidRPr="00D64DC4">
        <w:rPr>
          <w:rFonts w:ascii="Montserrat" w:eastAsia="Calibri" w:hAnsi="Montserrat" w:cs="Arial"/>
          <w:b/>
          <w:sz w:val="20"/>
          <w:szCs w:val="20"/>
          <w:lang w:val="lt-LT"/>
        </w:rPr>
        <w:t xml:space="preserve"> </w:t>
      </w:r>
      <w:r>
        <w:rPr>
          <w:rFonts w:ascii="Montserrat" w:eastAsia="Calibri" w:hAnsi="Montserrat" w:cs="Arial"/>
          <w:b/>
          <w:sz w:val="20"/>
          <w:szCs w:val="20"/>
          <w:lang w:val="lt-LT"/>
        </w:rPr>
        <w:t>DETALIŲ ĮSIGIJIMO</w:t>
      </w:r>
      <w:r w:rsidRPr="00D64DC4">
        <w:rPr>
          <w:rFonts w:ascii="Montserrat" w:eastAsia="Calibri" w:hAnsi="Montserrat" w:cs="Arial"/>
          <w:b/>
          <w:sz w:val="20"/>
          <w:szCs w:val="20"/>
          <w:lang w:val="lt-LT"/>
        </w:rPr>
        <w:t xml:space="preserve"> IR NEVEIKIANČIŲ DETALIŲ REMONT</w:t>
      </w:r>
      <w:r>
        <w:rPr>
          <w:rFonts w:ascii="Montserrat" w:eastAsia="Calibri" w:hAnsi="Montserrat" w:cs="Arial"/>
          <w:b/>
          <w:sz w:val="20"/>
          <w:szCs w:val="20"/>
          <w:lang w:val="lt-LT"/>
        </w:rPr>
        <w:t>O PASLAUGŲ</w:t>
      </w:r>
    </w:p>
    <w:p w14:paraId="0CF0D517" w14:textId="77777777" w:rsidR="00820343" w:rsidRDefault="00820343" w:rsidP="00820343">
      <w:pPr>
        <w:widowControl w:val="0"/>
        <w:suppressAutoHyphens/>
        <w:spacing w:after="0" w:line="240" w:lineRule="auto"/>
        <w:jc w:val="center"/>
        <w:rPr>
          <w:rFonts w:ascii="Montserrat" w:eastAsia="Lucida Sans Unicode" w:hAnsi="Montserrat" w:cs="Arial"/>
          <w:b/>
          <w:kern w:val="3"/>
          <w:sz w:val="20"/>
          <w:szCs w:val="20"/>
          <w:lang w:val="lt-LT"/>
        </w:rPr>
      </w:pPr>
      <w:r w:rsidRPr="0096512A">
        <w:rPr>
          <w:rFonts w:ascii="Montserrat" w:eastAsia="Lucida Sans Unicode" w:hAnsi="Montserrat" w:cs="Arial"/>
          <w:b/>
          <w:kern w:val="3"/>
          <w:sz w:val="20"/>
          <w:szCs w:val="20"/>
          <w:lang w:val="lt-LT"/>
        </w:rPr>
        <w:t>TECHNINĖ SPECIFIKACIJA</w:t>
      </w:r>
    </w:p>
    <w:p w14:paraId="0E2B7AD9" w14:textId="77777777" w:rsidR="00820343" w:rsidRPr="007363E2" w:rsidRDefault="00820343" w:rsidP="00820343">
      <w:pPr>
        <w:widowControl w:val="0"/>
        <w:suppressAutoHyphens/>
        <w:spacing w:after="0" w:line="240" w:lineRule="auto"/>
        <w:jc w:val="center"/>
        <w:rPr>
          <w:rFonts w:ascii="Montserrat" w:eastAsia="Calibri" w:hAnsi="Montserrat" w:cs="Arial"/>
          <w:b/>
          <w:sz w:val="20"/>
          <w:szCs w:val="20"/>
          <w:lang w:val="lt-LT"/>
        </w:rPr>
      </w:pPr>
    </w:p>
    <w:p w14:paraId="35147FBE" w14:textId="77777777" w:rsidR="00820343" w:rsidRDefault="00820343" w:rsidP="00820343">
      <w:pPr>
        <w:pStyle w:val="ListParagraph"/>
        <w:widowControl w:val="0"/>
        <w:numPr>
          <w:ilvl w:val="0"/>
          <w:numId w:val="1"/>
        </w:numPr>
        <w:suppressAutoHyphens/>
        <w:autoSpaceDN w:val="0"/>
        <w:spacing w:before="240" w:after="240" w:line="240" w:lineRule="auto"/>
        <w:jc w:val="center"/>
        <w:textAlignment w:val="baseline"/>
        <w:rPr>
          <w:rFonts w:ascii="Montserrat" w:eastAsia="Lucida Sans Unicode" w:hAnsi="Montserrat" w:cs="Arial"/>
          <w:b/>
          <w:kern w:val="3"/>
          <w:sz w:val="20"/>
          <w:szCs w:val="20"/>
          <w:lang w:val="lt-LT"/>
        </w:rPr>
      </w:pPr>
      <w:r>
        <w:rPr>
          <w:rFonts w:ascii="Montserrat" w:eastAsia="Lucida Sans Unicode" w:hAnsi="Montserrat" w:cs="Arial"/>
          <w:b/>
          <w:kern w:val="3"/>
          <w:sz w:val="20"/>
          <w:szCs w:val="20"/>
          <w:lang w:val="lt-LT"/>
        </w:rPr>
        <w:t>BENDRA INFORMACIJA</w:t>
      </w:r>
    </w:p>
    <w:p w14:paraId="6E757C9A" w14:textId="77777777" w:rsidR="00820343" w:rsidRPr="007363E2" w:rsidRDefault="00820343" w:rsidP="00820343">
      <w:pPr>
        <w:pStyle w:val="ListParagraph"/>
        <w:widowControl w:val="0"/>
        <w:suppressAutoHyphens/>
        <w:autoSpaceDN w:val="0"/>
        <w:spacing w:before="240" w:after="240" w:line="240" w:lineRule="auto"/>
        <w:ind w:left="360"/>
        <w:jc w:val="center"/>
        <w:textAlignment w:val="baseline"/>
        <w:rPr>
          <w:rFonts w:ascii="Montserrat" w:eastAsia="Lucida Sans Unicode" w:hAnsi="Montserrat" w:cs="Arial"/>
          <w:b/>
          <w:kern w:val="3"/>
          <w:sz w:val="20"/>
          <w:szCs w:val="20"/>
          <w:lang w:val="lt-LT"/>
        </w:rPr>
      </w:pPr>
    </w:p>
    <w:p w14:paraId="2C3A2552" w14:textId="77777777" w:rsidR="00820343" w:rsidRPr="00820343" w:rsidRDefault="00820343" w:rsidP="00820343">
      <w:pPr>
        <w:pStyle w:val="NormalWeb"/>
        <w:numPr>
          <w:ilvl w:val="0"/>
          <w:numId w:val="3"/>
        </w:numPr>
        <w:spacing w:before="0" w:beforeAutospacing="0" w:after="0" w:afterAutospacing="0"/>
        <w:ind w:left="426"/>
        <w:jc w:val="both"/>
        <w:rPr>
          <w:rFonts w:ascii="Montserrat" w:hAnsi="Montserrat"/>
          <w:sz w:val="20"/>
          <w:szCs w:val="20"/>
        </w:rPr>
      </w:pPr>
      <w:r w:rsidRPr="00820343">
        <w:rPr>
          <w:rFonts w:ascii="Montserrat" w:hAnsi="Montserrat"/>
          <w:b/>
          <w:bCs/>
          <w:sz w:val="20"/>
          <w:szCs w:val="20"/>
        </w:rPr>
        <w:t>Perkančioji organizacija</w:t>
      </w:r>
      <w:r w:rsidRPr="00820343">
        <w:rPr>
          <w:rFonts w:ascii="Montserrat" w:hAnsi="Montserrat"/>
          <w:sz w:val="20"/>
          <w:szCs w:val="20"/>
        </w:rPr>
        <w:t xml:space="preserve"> – savivaldybės įmonė „Susisiekimo paslaugos“ (toliau – Užsakovas).</w:t>
      </w:r>
    </w:p>
    <w:p w14:paraId="043D2BC5" w14:textId="02A0939F" w:rsidR="00820343" w:rsidRPr="00820343" w:rsidRDefault="00820343" w:rsidP="00820343">
      <w:pPr>
        <w:pStyle w:val="NormalWeb"/>
        <w:numPr>
          <w:ilvl w:val="0"/>
          <w:numId w:val="3"/>
        </w:numPr>
        <w:spacing w:before="0" w:beforeAutospacing="0" w:after="0" w:afterAutospacing="0"/>
        <w:ind w:left="426"/>
        <w:jc w:val="both"/>
        <w:rPr>
          <w:rFonts w:ascii="Montserrat" w:hAnsi="Montserrat"/>
          <w:sz w:val="20"/>
          <w:szCs w:val="20"/>
        </w:rPr>
      </w:pPr>
      <w:r w:rsidRPr="00820343">
        <w:rPr>
          <w:rFonts w:ascii="Montserrat" w:hAnsi="Montserrat"/>
          <w:b/>
          <w:bCs/>
          <w:sz w:val="20"/>
          <w:szCs w:val="20"/>
        </w:rPr>
        <w:t>Pirkimo objektas</w:t>
      </w:r>
      <w:r w:rsidRPr="00820343">
        <w:rPr>
          <w:rFonts w:ascii="Montserrat" w:hAnsi="Montserrat"/>
          <w:sz w:val="20"/>
          <w:szCs w:val="20"/>
        </w:rPr>
        <w:t xml:space="preserve"> – Bilietų automatų atsarginių detalių įsigijimo ir neveikiančių detalių remonto paslaugos</w:t>
      </w:r>
      <w:r w:rsidR="00F5442D">
        <w:rPr>
          <w:rFonts w:ascii="Montserrat" w:hAnsi="Montserrat"/>
          <w:sz w:val="20"/>
          <w:szCs w:val="20"/>
        </w:rPr>
        <w:t xml:space="preserve"> </w:t>
      </w:r>
      <w:r w:rsidR="005569AF">
        <w:rPr>
          <w:rFonts w:ascii="Montserrat" w:hAnsi="Montserrat"/>
          <w:sz w:val="20"/>
          <w:szCs w:val="20"/>
        </w:rPr>
        <w:t>(toliau-</w:t>
      </w:r>
      <w:r w:rsidR="00F316D3">
        <w:rPr>
          <w:rFonts w:ascii="Montserrat" w:hAnsi="Montserrat"/>
          <w:sz w:val="20"/>
          <w:szCs w:val="20"/>
        </w:rPr>
        <w:t xml:space="preserve"> Prekės</w:t>
      </w:r>
      <w:r w:rsidR="005569AF">
        <w:rPr>
          <w:rFonts w:ascii="Montserrat" w:hAnsi="Montserrat"/>
          <w:sz w:val="20"/>
          <w:szCs w:val="20"/>
        </w:rPr>
        <w:t>)</w:t>
      </w:r>
      <w:r w:rsidR="00F316D3">
        <w:rPr>
          <w:rFonts w:ascii="Montserrat" w:hAnsi="Montserrat"/>
          <w:sz w:val="20"/>
          <w:szCs w:val="20"/>
        </w:rPr>
        <w:t>.</w:t>
      </w:r>
    </w:p>
    <w:p w14:paraId="6B15674A" w14:textId="77777777" w:rsidR="00820343" w:rsidRPr="00820343" w:rsidRDefault="00820343" w:rsidP="00820343">
      <w:pPr>
        <w:pStyle w:val="NormalWeb"/>
        <w:numPr>
          <w:ilvl w:val="0"/>
          <w:numId w:val="3"/>
        </w:numPr>
        <w:spacing w:before="0" w:beforeAutospacing="0" w:after="0" w:afterAutospacing="0"/>
        <w:ind w:left="426"/>
        <w:jc w:val="both"/>
        <w:rPr>
          <w:rFonts w:ascii="Montserrat" w:hAnsi="Montserrat"/>
          <w:b/>
          <w:bCs/>
          <w:sz w:val="20"/>
          <w:szCs w:val="20"/>
        </w:rPr>
      </w:pPr>
      <w:r w:rsidRPr="00820343">
        <w:rPr>
          <w:rFonts w:ascii="Montserrat" w:hAnsi="Montserrat"/>
          <w:b/>
          <w:bCs/>
          <w:sz w:val="20"/>
          <w:szCs w:val="20"/>
        </w:rPr>
        <w:t>Pirkimo objektui taikomi „žalieji reikalavimai“:</w:t>
      </w:r>
    </w:p>
    <w:p w14:paraId="7BA227D5" w14:textId="77777777" w:rsidR="001776ED" w:rsidRPr="00AB0DF9" w:rsidRDefault="001776ED" w:rsidP="00AB0DF9">
      <w:pPr>
        <w:pStyle w:val="NormalWeb"/>
        <w:spacing w:before="0" w:beforeAutospacing="0" w:after="0" w:afterAutospacing="0"/>
        <w:ind w:left="426"/>
        <w:jc w:val="both"/>
        <w:rPr>
          <w:rFonts w:ascii="Montserrat" w:hAnsi="Montserrat"/>
          <w:sz w:val="20"/>
          <w:szCs w:val="20"/>
        </w:rPr>
      </w:pPr>
      <w:r w:rsidRPr="00AB0DF9">
        <w:rPr>
          <w:rFonts w:ascii="Montserrat" w:hAnsi="Montserrat"/>
          <w:sz w:val="20"/>
          <w:szCs w:val="20"/>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4.4.4.3 papunkčiu – prekė yra tvirta, ilgaamžė, funkcionali, jos sudedamosios dalys tinka naudoti daug kartų ir (ar) lengvai pataisomos, ir (ar) pakeičiamos. Vaizdo stebėjimo kameros yra ilgaamžės ir atsparios aplinkos poveikiui: taikomas reikalavimas IP66,  IK 10 apsaugos klasės (žr. 1.23; 1.24 p.). Vaizdo stebėjimo kameroms, kamerų lauko spintoms ir jų komponentams Tiekėjas turi suteikti ne trumpesnę kaip 3 (trejų) metų garantiją, kabeliams – ne trumpesnę kaip 10 (dešimties) metų garantiją (žr. 33 p.).</w:t>
      </w:r>
    </w:p>
    <w:p w14:paraId="16DF08DF" w14:textId="77777777" w:rsidR="001776ED" w:rsidRPr="00EE3EC5" w:rsidRDefault="001776ED" w:rsidP="001776ED">
      <w:pPr>
        <w:spacing w:before="100" w:beforeAutospacing="1" w:after="100" w:afterAutospacing="1"/>
        <w:rPr>
          <w:lang w:val="lt-LT"/>
        </w:rPr>
      </w:pPr>
      <w:r>
        <w:rPr>
          <w:lang w:val="lt-LT"/>
        </w:rPr>
        <w:br w:type="page"/>
      </w:r>
    </w:p>
    <w:p w14:paraId="022E889A" w14:textId="4E2EA31C" w:rsidR="00820343" w:rsidRPr="00820343" w:rsidRDefault="00820343" w:rsidP="00820343">
      <w:pPr>
        <w:pStyle w:val="NormalWeb"/>
        <w:numPr>
          <w:ilvl w:val="0"/>
          <w:numId w:val="3"/>
        </w:numPr>
        <w:spacing w:before="0" w:beforeAutospacing="0" w:after="0" w:afterAutospacing="0"/>
        <w:ind w:left="426"/>
        <w:jc w:val="both"/>
        <w:rPr>
          <w:rFonts w:ascii="Montserrat" w:hAnsi="Montserrat"/>
          <w:sz w:val="20"/>
          <w:szCs w:val="20"/>
        </w:rPr>
      </w:pPr>
      <w:r w:rsidRPr="00820343">
        <w:rPr>
          <w:rFonts w:ascii="Montserrat" w:hAnsi="Montserrat"/>
          <w:b/>
          <w:bCs/>
          <w:sz w:val="20"/>
          <w:szCs w:val="20"/>
        </w:rPr>
        <w:lastRenderedPageBreak/>
        <w:t>Užsakovo eksploatuojama įranga</w:t>
      </w:r>
      <w:r w:rsidRPr="00820343">
        <w:rPr>
          <w:rFonts w:ascii="Montserrat" w:hAnsi="Montserrat"/>
          <w:sz w:val="20"/>
          <w:szCs w:val="20"/>
        </w:rPr>
        <w:t xml:space="preserve"> –bilietų automatai (gamintojas – PARKEON SAS, modelis „STRADA“, eksploatuojami nuo 2013 metų, bilietų automatai sukomplektuoti ir veikia pagal gamintojo keliamus reikalavimus), (toliau - bilietų automatais). Užsakovo eksploatuojamų bilietų automatų kiekis  – 217 vnt., iš jų: 32 vnt. su bekontakčių bankinių mokėjimų terminalu. Eksploatacijos vieta – Vilniaus miestas.</w:t>
      </w:r>
    </w:p>
    <w:p w14:paraId="4E3B4081" w14:textId="07BF1B07" w:rsidR="00820343" w:rsidRPr="00820343" w:rsidRDefault="00820343" w:rsidP="00820343">
      <w:pPr>
        <w:pStyle w:val="NormalWeb"/>
        <w:numPr>
          <w:ilvl w:val="0"/>
          <w:numId w:val="3"/>
        </w:numPr>
        <w:spacing w:before="0" w:beforeAutospacing="0" w:after="0" w:afterAutospacing="0"/>
        <w:ind w:left="426"/>
        <w:jc w:val="both"/>
        <w:rPr>
          <w:rFonts w:ascii="Montserrat" w:hAnsi="Montserrat"/>
          <w:sz w:val="20"/>
          <w:szCs w:val="20"/>
        </w:rPr>
      </w:pPr>
      <w:bookmarkStart w:id="0" w:name="_Hlk123045087"/>
      <w:r w:rsidRPr="00820343">
        <w:rPr>
          <w:rFonts w:ascii="Montserrat" w:hAnsi="Montserrat"/>
          <w:b/>
          <w:bCs/>
          <w:sz w:val="20"/>
          <w:szCs w:val="20"/>
        </w:rPr>
        <w:t>Detalių pristatymo terminas</w:t>
      </w:r>
      <w:r w:rsidRPr="00820343">
        <w:rPr>
          <w:rFonts w:ascii="Montserrat" w:hAnsi="Montserrat"/>
          <w:sz w:val="20"/>
          <w:szCs w:val="20"/>
        </w:rPr>
        <w:t xml:space="preserve"> – ne vėliau kaip per techninės specifikacijos </w:t>
      </w:r>
      <w:r w:rsidR="00BD4D36">
        <w:rPr>
          <w:rFonts w:ascii="Montserrat" w:hAnsi="Montserrat"/>
          <w:sz w:val="20"/>
          <w:szCs w:val="20"/>
        </w:rPr>
        <w:t>8</w:t>
      </w:r>
      <w:r w:rsidR="00BD4D36" w:rsidRPr="00820343">
        <w:rPr>
          <w:rFonts w:ascii="Montserrat" w:hAnsi="Montserrat"/>
          <w:sz w:val="20"/>
          <w:szCs w:val="20"/>
        </w:rPr>
        <w:t xml:space="preserve"> </w:t>
      </w:r>
      <w:r w:rsidRPr="00820343">
        <w:rPr>
          <w:rFonts w:ascii="Montserrat" w:hAnsi="Montserrat"/>
          <w:sz w:val="20"/>
          <w:szCs w:val="20"/>
        </w:rPr>
        <w:t>punkte nurodytą terminą</w:t>
      </w:r>
      <w:r w:rsidR="00A90886">
        <w:rPr>
          <w:rFonts w:ascii="Montserrat" w:hAnsi="Montserrat"/>
          <w:sz w:val="20"/>
          <w:szCs w:val="20"/>
        </w:rPr>
        <w:t>. Pristatymo terminas</w:t>
      </w:r>
      <w:r w:rsidRPr="00820343">
        <w:rPr>
          <w:rFonts w:ascii="Montserrat" w:hAnsi="Montserrat"/>
          <w:sz w:val="20"/>
          <w:szCs w:val="20"/>
        </w:rPr>
        <w:t xml:space="preserve"> pradedam</w:t>
      </w:r>
      <w:r w:rsidR="00A90886">
        <w:rPr>
          <w:rFonts w:ascii="Montserrat" w:hAnsi="Montserrat"/>
          <w:sz w:val="20"/>
          <w:szCs w:val="20"/>
        </w:rPr>
        <w:t>as</w:t>
      </w:r>
      <w:r w:rsidRPr="00820343">
        <w:rPr>
          <w:rFonts w:ascii="Montserrat" w:hAnsi="Montserrat"/>
          <w:sz w:val="20"/>
          <w:szCs w:val="20"/>
        </w:rPr>
        <w:t xml:space="preserve"> skaičiuoti nuo Užsakovo užsakymo pateikimo dienos. Atsarginės detalės turi būti pristatomos užsakyme nurodytu adresu Vilniuje.</w:t>
      </w:r>
    </w:p>
    <w:p w14:paraId="5226766C" w14:textId="77777777" w:rsidR="00820343" w:rsidRPr="00820343" w:rsidRDefault="00820343" w:rsidP="00820343">
      <w:pPr>
        <w:pStyle w:val="NormalWeb"/>
        <w:numPr>
          <w:ilvl w:val="0"/>
          <w:numId w:val="3"/>
        </w:numPr>
        <w:spacing w:before="0" w:beforeAutospacing="0" w:after="0" w:afterAutospacing="0"/>
        <w:ind w:left="426"/>
        <w:jc w:val="both"/>
        <w:rPr>
          <w:rFonts w:ascii="Montserrat" w:hAnsi="Montserrat"/>
          <w:sz w:val="20"/>
          <w:szCs w:val="20"/>
        </w:rPr>
      </w:pPr>
      <w:r w:rsidRPr="00820343">
        <w:rPr>
          <w:rFonts w:ascii="Montserrat" w:hAnsi="Montserrat"/>
          <w:b/>
          <w:bCs/>
          <w:sz w:val="20"/>
          <w:szCs w:val="20"/>
        </w:rPr>
        <w:t>Neveikiančių detalių remonto paslaugų suteikimo terminas</w:t>
      </w:r>
      <w:r w:rsidRPr="00820343">
        <w:rPr>
          <w:rFonts w:ascii="Montserrat" w:hAnsi="Montserrat"/>
          <w:sz w:val="20"/>
          <w:szCs w:val="20"/>
        </w:rPr>
        <w:t xml:space="preserve"> – 60 kalendorinių dienų nuo Užsakovo užsakymo pateikimo dienos. Suremontuotos detalės turi būti pristatomos užsakyme nurodytu adresu Vilniuje.</w:t>
      </w:r>
      <w:bookmarkEnd w:id="0"/>
    </w:p>
    <w:p w14:paraId="2899EABF" w14:textId="77777777" w:rsidR="00820343" w:rsidRPr="001D1C55" w:rsidRDefault="00820343" w:rsidP="00820343">
      <w:pPr>
        <w:pStyle w:val="ListParagraph"/>
        <w:tabs>
          <w:tab w:val="left" w:pos="851"/>
        </w:tabs>
        <w:spacing w:after="0" w:line="240" w:lineRule="auto"/>
        <w:ind w:left="567"/>
        <w:jc w:val="both"/>
        <w:rPr>
          <w:rFonts w:ascii="Montserrat" w:eastAsia="Calibri" w:hAnsi="Montserrat" w:cs="Arial"/>
          <w:sz w:val="20"/>
          <w:szCs w:val="20"/>
          <w:lang w:val="lt-LT"/>
        </w:rPr>
      </w:pPr>
    </w:p>
    <w:p w14:paraId="33CF6F3D" w14:textId="77777777" w:rsidR="00820343" w:rsidRPr="00820343" w:rsidRDefault="00820343" w:rsidP="00820343">
      <w:pPr>
        <w:pStyle w:val="ListParagraph"/>
        <w:widowControl w:val="0"/>
        <w:numPr>
          <w:ilvl w:val="0"/>
          <w:numId w:val="1"/>
        </w:numPr>
        <w:suppressAutoHyphens/>
        <w:autoSpaceDN w:val="0"/>
        <w:spacing w:before="240" w:after="240" w:line="240" w:lineRule="auto"/>
        <w:jc w:val="center"/>
        <w:textAlignment w:val="baseline"/>
        <w:rPr>
          <w:rFonts w:ascii="Montserrat" w:hAnsi="Montserrat" w:cs="Arial"/>
          <w:b/>
          <w:sz w:val="20"/>
          <w:szCs w:val="20"/>
          <w:lang w:val="lt-LT"/>
        </w:rPr>
      </w:pPr>
      <w:r w:rsidRPr="00820343">
        <w:rPr>
          <w:rFonts w:ascii="Montserrat" w:hAnsi="Montserrat" w:cs="Arial"/>
          <w:b/>
          <w:sz w:val="20"/>
          <w:szCs w:val="20"/>
          <w:lang w:val="lt-LT"/>
        </w:rPr>
        <w:t>REIKALAVIMAI PIRKIMO OBJEKTUI</w:t>
      </w:r>
    </w:p>
    <w:p w14:paraId="37EB466F" w14:textId="77777777" w:rsidR="00820343" w:rsidRDefault="00820343" w:rsidP="00820343">
      <w:pPr>
        <w:pStyle w:val="ListParagraph"/>
        <w:tabs>
          <w:tab w:val="left" w:pos="851"/>
        </w:tabs>
        <w:spacing w:after="0" w:line="240" w:lineRule="auto"/>
        <w:ind w:left="567"/>
        <w:jc w:val="both"/>
        <w:rPr>
          <w:rFonts w:ascii="Montserrat" w:hAnsi="Montserrat" w:cs="Arial"/>
          <w:b/>
          <w:bCs/>
          <w:sz w:val="20"/>
          <w:szCs w:val="20"/>
          <w:lang w:val="lt-LT"/>
        </w:rPr>
      </w:pPr>
    </w:p>
    <w:p w14:paraId="57F9F0E8" w14:textId="77777777" w:rsidR="00820343" w:rsidRDefault="00820343" w:rsidP="00820343">
      <w:pPr>
        <w:pStyle w:val="NormalWeb"/>
        <w:numPr>
          <w:ilvl w:val="0"/>
          <w:numId w:val="3"/>
        </w:numPr>
        <w:spacing w:before="0" w:beforeAutospacing="0" w:after="0" w:afterAutospacing="0"/>
        <w:ind w:left="426"/>
        <w:jc w:val="both"/>
        <w:rPr>
          <w:rFonts w:ascii="Montserrat" w:hAnsi="Montserrat" w:cs="Arial"/>
          <w:b/>
          <w:bCs/>
          <w:sz w:val="20"/>
          <w:szCs w:val="20"/>
        </w:rPr>
      </w:pPr>
      <w:r w:rsidRPr="0096512A">
        <w:rPr>
          <w:rFonts w:ascii="Montserrat" w:hAnsi="Montserrat" w:cs="Arial"/>
          <w:b/>
          <w:bCs/>
          <w:sz w:val="20"/>
          <w:szCs w:val="20"/>
        </w:rPr>
        <w:t xml:space="preserve">Reikalavimai </w:t>
      </w:r>
      <w:r>
        <w:rPr>
          <w:rFonts w:ascii="Montserrat" w:hAnsi="Montserrat" w:cs="Arial"/>
          <w:b/>
          <w:bCs/>
          <w:sz w:val="20"/>
          <w:szCs w:val="20"/>
        </w:rPr>
        <w:t>bilietų automatų atsarginėms detalėms</w:t>
      </w:r>
      <w:r w:rsidRPr="0096512A">
        <w:rPr>
          <w:rFonts w:ascii="Montserrat" w:hAnsi="Montserrat" w:cs="Arial"/>
          <w:b/>
          <w:bCs/>
          <w:sz w:val="20"/>
          <w:szCs w:val="20"/>
        </w:rPr>
        <w:t>:</w:t>
      </w:r>
    </w:p>
    <w:p w14:paraId="2A9BD34B" w14:textId="77777777" w:rsidR="00820343" w:rsidRPr="00820343" w:rsidRDefault="00820343" w:rsidP="00820343">
      <w:pPr>
        <w:pStyle w:val="NormalWeb"/>
        <w:numPr>
          <w:ilvl w:val="0"/>
          <w:numId w:val="3"/>
        </w:numPr>
        <w:spacing w:before="0" w:beforeAutospacing="0" w:after="0" w:afterAutospacing="0"/>
        <w:ind w:left="426"/>
        <w:jc w:val="both"/>
        <w:rPr>
          <w:rFonts w:ascii="Montserrat" w:eastAsia="Calibri" w:hAnsi="Montserrat" w:cs="Arial"/>
          <w:sz w:val="20"/>
          <w:szCs w:val="20"/>
        </w:rPr>
      </w:pPr>
      <w:r w:rsidRPr="00820343">
        <w:rPr>
          <w:rFonts w:ascii="Montserrat" w:eastAsia="Calibri" w:hAnsi="Montserrat" w:cs="Arial"/>
          <w:sz w:val="20"/>
          <w:szCs w:val="20"/>
        </w:rPr>
        <w:t xml:space="preserve">Bilietų automatų atsarginių detalių preliminarus kiekis: </w:t>
      </w:r>
    </w:p>
    <w:tbl>
      <w:tblPr>
        <w:tblW w:w="9630" w:type="dxa"/>
        <w:tblInd w:w="-5" w:type="dxa"/>
        <w:tblLook w:val="04A0" w:firstRow="1" w:lastRow="0" w:firstColumn="1" w:lastColumn="0" w:noHBand="0" w:noVBand="1"/>
      </w:tblPr>
      <w:tblGrid>
        <w:gridCol w:w="1982"/>
        <w:gridCol w:w="3328"/>
        <w:gridCol w:w="1710"/>
        <w:gridCol w:w="2610"/>
      </w:tblGrid>
      <w:tr w:rsidR="00820343" w:rsidRPr="007D3B74" w14:paraId="369D741F" w14:textId="77777777" w:rsidTr="00B3270D">
        <w:trPr>
          <w:cantSplit/>
          <w:trHeight w:val="418"/>
        </w:trPr>
        <w:tc>
          <w:tcPr>
            <w:tcW w:w="1982" w:type="dxa"/>
            <w:tcBorders>
              <w:top w:val="single" w:sz="4" w:space="0" w:color="auto"/>
              <w:left w:val="single" w:sz="4" w:space="0" w:color="auto"/>
              <w:bottom w:val="single" w:sz="4" w:space="0" w:color="auto"/>
              <w:right w:val="single" w:sz="4" w:space="0" w:color="auto"/>
            </w:tcBorders>
            <w:noWrap/>
            <w:vAlign w:val="center"/>
            <w:hideMark/>
          </w:tcPr>
          <w:p w14:paraId="3705A403" w14:textId="77777777" w:rsidR="00820343" w:rsidRPr="007D3B74" w:rsidRDefault="00820343" w:rsidP="00820343">
            <w:pPr>
              <w:spacing w:after="0" w:line="240" w:lineRule="auto"/>
              <w:jc w:val="center"/>
              <w:rPr>
                <w:rFonts w:ascii="Montserrat" w:eastAsia="Times New Roman" w:hAnsi="Montserrat" w:cs="Arial"/>
                <w:b/>
                <w:bCs/>
                <w:color w:val="000000"/>
                <w:sz w:val="20"/>
                <w:szCs w:val="20"/>
                <w:lang w:val="lt-LT" w:eastAsia="lt-LT"/>
              </w:rPr>
            </w:pPr>
            <w:r w:rsidRPr="007D3B74">
              <w:rPr>
                <w:rFonts w:ascii="Montserrat" w:eastAsia="Times New Roman" w:hAnsi="Montserrat" w:cs="Arial"/>
                <w:b/>
                <w:bCs/>
                <w:color w:val="000000"/>
                <w:sz w:val="20"/>
                <w:szCs w:val="20"/>
                <w:lang w:val="lt-LT" w:eastAsia="lt-LT"/>
              </w:rPr>
              <w:t>Eil. Nr.</w:t>
            </w:r>
          </w:p>
        </w:tc>
        <w:tc>
          <w:tcPr>
            <w:tcW w:w="3328" w:type="dxa"/>
            <w:tcBorders>
              <w:top w:val="single" w:sz="4" w:space="0" w:color="auto"/>
              <w:left w:val="nil"/>
              <w:bottom w:val="single" w:sz="4" w:space="0" w:color="auto"/>
              <w:right w:val="single" w:sz="4" w:space="0" w:color="auto"/>
            </w:tcBorders>
            <w:vAlign w:val="center"/>
            <w:hideMark/>
          </w:tcPr>
          <w:p w14:paraId="6E71D0AB" w14:textId="77777777" w:rsidR="00820343" w:rsidRPr="007D3B74" w:rsidRDefault="00820343" w:rsidP="00820343">
            <w:pPr>
              <w:spacing w:after="0" w:line="240" w:lineRule="auto"/>
              <w:jc w:val="center"/>
              <w:rPr>
                <w:rFonts w:ascii="Montserrat" w:eastAsia="Times New Roman" w:hAnsi="Montserrat" w:cs="Arial"/>
                <w:b/>
                <w:bCs/>
                <w:color w:val="000000"/>
                <w:sz w:val="20"/>
                <w:szCs w:val="20"/>
                <w:lang w:val="lt-LT" w:eastAsia="lt-LT"/>
              </w:rPr>
            </w:pPr>
            <w:r w:rsidRPr="007D3B74">
              <w:rPr>
                <w:rFonts w:ascii="Montserrat" w:eastAsia="Times New Roman" w:hAnsi="Montserrat" w:cs="Arial"/>
                <w:b/>
                <w:bCs/>
                <w:color w:val="000000"/>
                <w:sz w:val="20"/>
                <w:szCs w:val="20"/>
                <w:lang w:val="lt-LT" w:eastAsia="lt-LT"/>
              </w:rPr>
              <w:t>Pavadinimas</w:t>
            </w:r>
          </w:p>
        </w:tc>
        <w:tc>
          <w:tcPr>
            <w:tcW w:w="1710" w:type="dxa"/>
            <w:tcBorders>
              <w:top w:val="single" w:sz="4" w:space="0" w:color="auto"/>
              <w:left w:val="nil"/>
              <w:bottom w:val="single" w:sz="4" w:space="0" w:color="auto"/>
              <w:right w:val="single" w:sz="4" w:space="0" w:color="auto"/>
            </w:tcBorders>
            <w:vAlign w:val="center"/>
            <w:hideMark/>
          </w:tcPr>
          <w:p w14:paraId="1F5F1833" w14:textId="641E60B6" w:rsidR="00820343" w:rsidRPr="007D3B74" w:rsidRDefault="00820343" w:rsidP="00820343">
            <w:pPr>
              <w:spacing w:after="0" w:line="240" w:lineRule="auto"/>
              <w:jc w:val="center"/>
              <w:rPr>
                <w:rFonts w:ascii="Montserrat" w:eastAsia="Times New Roman" w:hAnsi="Montserrat" w:cs="Arial"/>
                <w:b/>
                <w:bCs/>
                <w:color w:val="000000"/>
                <w:sz w:val="20"/>
                <w:szCs w:val="20"/>
                <w:lang w:val="lt-LT" w:eastAsia="lt-LT"/>
              </w:rPr>
            </w:pPr>
            <w:r>
              <w:rPr>
                <w:rFonts w:ascii="Montserrat" w:eastAsia="Times New Roman" w:hAnsi="Montserrat" w:cs="Arial"/>
                <w:b/>
                <w:bCs/>
                <w:color w:val="000000"/>
                <w:sz w:val="20"/>
                <w:szCs w:val="20"/>
                <w:lang w:val="lt-LT" w:eastAsia="lt-LT"/>
              </w:rPr>
              <w:t>Numatomas preliminarus</w:t>
            </w:r>
            <w:r w:rsidRPr="007D3B74">
              <w:rPr>
                <w:rFonts w:ascii="Montserrat" w:eastAsia="Times New Roman" w:hAnsi="Montserrat" w:cs="Arial"/>
                <w:b/>
                <w:bCs/>
                <w:color w:val="000000"/>
                <w:sz w:val="20"/>
                <w:szCs w:val="20"/>
                <w:lang w:val="lt-LT" w:eastAsia="lt-LT"/>
              </w:rPr>
              <w:t xml:space="preserve"> kiekis</w:t>
            </w:r>
            <w:r>
              <w:rPr>
                <w:rFonts w:ascii="Montserrat" w:eastAsia="Times New Roman" w:hAnsi="Montserrat" w:cs="Arial"/>
                <w:b/>
                <w:bCs/>
                <w:color w:val="000000"/>
                <w:sz w:val="20"/>
                <w:szCs w:val="20"/>
                <w:lang w:val="lt-LT" w:eastAsia="lt-LT"/>
              </w:rPr>
              <w:t>,</w:t>
            </w:r>
            <w:r w:rsidRPr="007D3B74">
              <w:rPr>
                <w:rFonts w:ascii="Montserrat" w:eastAsia="Times New Roman" w:hAnsi="Montserrat" w:cs="Arial"/>
                <w:b/>
                <w:bCs/>
                <w:color w:val="000000"/>
                <w:sz w:val="20"/>
                <w:szCs w:val="20"/>
                <w:lang w:val="lt-LT" w:eastAsia="lt-LT"/>
              </w:rPr>
              <w:t xml:space="preserve"> vnt.</w:t>
            </w:r>
            <w:r>
              <w:rPr>
                <w:rFonts w:ascii="Montserrat" w:eastAsia="Times New Roman" w:hAnsi="Montserrat" w:cs="Arial"/>
                <w:b/>
                <w:bCs/>
                <w:color w:val="000000"/>
                <w:sz w:val="20"/>
                <w:szCs w:val="20"/>
                <w:lang w:val="lt-LT" w:eastAsia="lt-LT"/>
              </w:rPr>
              <w:t xml:space="preserve"> per 12 mėn.</w:t>
            </w:r>
            <w:r w:rsidR="00AF6B41">
              <w:rPr>
                <w:rFonts w:ascii="Montserrat" w:eastAsia="Times New Roman" w:hAnsi="Montserrat" w:cs="Arial"/>
                <w:b/>
                <w:bCs/>
                <w:color w:val="000000"/>
                <w:sz w:val="20"/>
                <w:szCs w:val="20"/>
                <w:lang w:val="lt-LT" w:eastAsia="lt-LT"/>
              </w:rPr>
              <w:t>*</w:t>
            </w:r>
          </w:p>
        </w:tc>
        <w:tc>
          <w:tcPr>
            <w:tcW w:w="2610" w:type="dxa"/>
            <w:tcBorders>
              <w:top w:val="single" w:sz="4" w:space="0" w:color="auto"/>
              <w:left w:val="nil"/>
              <w:bottom w:val="single" w:sz="4" w:space="0" w:color="auto"/>
              <w:right w:val="single" w:sz="4" w:space="0" w:color="auto"/>
            </w:tcBorders>
          </w:tcPr>
          <w:p w14:paraId="1E301B8B" w14:textId="3DD98F82" w:rsidR="00820343" w:rsidRPr="00AD52EF" w:rsidRDefault="00820343" w:rsidP="00820343">
            <w:pPr>
              <w:spacing w:after="0" w:line="240" w:lineRule="auto"/>
              <w:ind w:right="514"/>
              <w:jc w:val="center"/>
              <w:rPr>
                <w:rFonts w:ascii="Montserrat" w:eastAsia="Times New Roman" w:hAnsi="Montserrat" w:cs="Arial"/>
                <w:b/>
                <w:bCs/>
                <w:sz w:val="20"/>
                <w:szCs w:val="20"/>
                <w:lang w:val="lt-LT" w:eastAsia="lt-LT"/>
              </w:rPr>
            </w:pPr>
            <w:r w:rsidRPr="00AD52EF">
              <w:rPr>
                <w:rFonts w:ascii="Montserrat" w:eastAsia="Times New Roman" w:hAnsi="Montserrat" w:cs="Arial"/>
                <w:b/>
                <w:bCs/>
                <w:sz w:val="20"/>
                <w:szCs w:val="20"/>
                <w:lang w:val="lt-LT" w:eastAsia="lt-LT"/>
              </w:rPr>
              <w:t xml:space="preserve">Maksimalus pristatymo terminas nuo užsakymo pateikimo dienos </w:t>
            </w:r>
            <w:r w:rsidR="00A90D0C">
              <w:rPr>
                <w:rFonts w:ascii="Montserrat" w:eastAsia="Times New Roman" w:hAnsi="Montserrat" w:cs="Arial"/>
                <w:b/>
                <w:bCs/>
                <w:sz w:val="20"/>
                <w:szCs w:val="20"/>
                <w:lang w:val="lt-LT" w:eastAsia="lt-LT"/>
              </w:rPr>
              <w:t>(</w:t>
            </w:r>
            <w:r w:rsidRPr="00AD52EF">
              <w:rPr>
                <w:rFonts w:ascii="Montserrat" w:eastAsia="Times New Roman" w:hAnsi="Montserrat" w:cs="Arial"/>
                <w:b/>
                <w:bCs/>
                <w:sz w:val="20"/>
                <w:szCs w:val="20"/>
                <w:lang w:val="lt-LT" w:eastAsia="lt-LT"/>
              </w:rPr>
              <w:t>kalendorinė</w:t>
            </w:r>
            <w:r w:rsidR="00A90D0C">
              <w:rPr>
                <w:rFonts w:ascii="Montserrat" w:eastAsia="Times New Roman" w:hAnsi="Montserrat" w:cs="Arial"/>
                <w:b/>
                <w:bCs/>
                <w:sz w:val="20"/>
                <w:szCs w:val="20"/>
                <w:lang w:val="lt-LT" w:eastAsia="lt-LT"/>
              </w:rPr>
              <w:t>s</w:t>
            </w:r>
            <w:r w:rsidR="00D64883">
              <w:rPr>
                <w:rFonts w:ascii="Montserrat" w:eastAsia="Times New Roman" w:hAnsi="Montserrat" w:cs="Arial"/>
                <w:b/>
                <w:bCs/>
                <w:sz w:val="20"/>
                <w:szCs w:val="20"/>
                <w:lang w:val="lt-LT" w:eastAsia="lt-LT"/>
              </w:rPr>
              <w:t xml:space="preserve"> </w:t>
            </w:r>
            <w:r w:rsidRPr="00AD52EF">
              <w:rPr>
                <w:rFonts w:ascii="Montserrat" w:eastAsia="Times New Roman" w:hAnsi="Montserrat" w:cs="Arial"/>
                <w:b/>
                <w:bCs/>
                <w:sz w:val="20"/>
                <w:szCs w:val="20"/>
                <w:lang w:val="lt-LT" w:eastAsia="lt-LT"/>
              </w:rPr>
              <w:t>dieno</w:t>
            </w:r>
            <w:r w:rsidR="00A90D0C">
              <w:rPr>
                <w:rFonts w:ascii="Montserrat" w:eastAsia="Times New Roman" w:hAnsi="Montserrat" w:cs="Arial"/>
                <w:b/>
                <w:bCs/>
                <w:sz w:val="20"/>
                <w:szCs w:val="20"/>
                <w:lang w:val="lt-LT" w:eastAsia="lt-LT"/>
              </w:rPr>
              <w:t>s)</w:t>
            </w:r>
          </w:p>
        </w:tc>
      </w:tr>
      <w:tr w:rsidR="00820343" w:rsidRPr="007D3B74" w14:paraId="52860021"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1EB8BA02" w14:textId="77777777" w:rsidR="00820343" w:rsidRDefault="00BB6089" w:rsidP="00BB6089">
            <w:pPr>
              <w:pStyle w:val="NormalWeb"/>
              <w:spacing w:before="0" w:beforeAutospacing="0" w:after="0" w:afterAutospacing="0"/>
              <w:ind w:left="360"/>
              <w:jc w:val="both"/>
              <w:rPr>
                <w:rFonts w:ascii="Montserrat" w:eastAsia="Calibri" w:hAnsi="Montserrat" w:cs="Arial"/>
                <w:sz w:val="20"/>
                <w:szCs w:val="20"/>
              </w:rPr>
            </w:pPr>
            <w:r>
              <w:rPr>
                <w:rFonts w:ascii="Montserrat" w:eastAsia="Calibri" w:hAnsi="Montserrat" w:cs="Arial"/>
                <w:sz w:val="20"/>
                <w:szCs w:val="20"/>
              </w:rPr>
              <w:t>1.1.</w:t>
            </w:r>
          </w:p>
          <w:p w14:paraId="517C8DD2" w14:textId="6A3AB84A" w:rsidR="00BB6089" w:rsidRPr="00820343" w:rsidRDefault="00BB6089" w:rsidP="00D64883">
            <w:pPr>
              <w:pStyle w:val="NormalWeb"/>
              <w:spacing w:before="0" w:beforeAutospacing="0" w:after="0" w:afterAutospacing="0"/>
              <w:ind w:left="360"/>
              <w:jc w:val="both"/>
              <w:rPr>
                <w:rFonts w:ascii="Montserrat" w:eastAsia="Calibri" w:hAnsi="Montserrat" w:cs="Arial"/>
                <w:sz w:val="20"/>
                <w:szCs w:val="20"/>
              </w:rPr>
            </w:pPr>
          </w:p>
        </w:tc>
        <w:tc>
          <w:tcPr>
            <w:tcW w:w="3328" w:type="dxa"/>
            <w:tcBorders>
              <w:top w:val="nil"/>
              <w:left w:val="nil"/>
              <w:bottom w:val="single" w:sz="4" w:space="0" w:color="auto"/>
              <w:right w:val="single" w:sz="4" w:space="0" w:color="auto"/>
            </w:tcBorders>
            <w:noWrap/>
            <w:vAlign w:val="center"/>
            <w:hideMark/>
          </w:tcPr>
          <w:p w14:paraId="325992D9"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Akumuliatoriaus baterijos maitinimo komutaciniai laidai</w:t>
            </w:r>
          </w:p>
        </w:tc>
        <w:tc>
          <w:tcPr>
            <w:tcW w:w="1710" w:type="dxa"/>
            <w:tcBorders>
              <w:top w:val="nil"/>
              <w:left w:val="nil"/>
              <w:bottom w:val="single" w:sz="4" w:space="0" w:color="auto"/>
              <w:right w:val="single" w:sz="4" w:space="0" w:color="auto"/>
            </w:tcBorders>
            <w:vAlign w:val="center"/>
            <w:hideMark/>
          </w:tcPr>
          <w:p w14:paraId="31635557"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4ACDC186"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3EDEFB3F"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79BFD2A5" w14:textId="10D4EABE" w:rsidR="00820343" w:rsidRPr="00820343" w:rsidRDefault="00BB6089"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1.2.</w:t>
            </w:r>
          </w:p>
        </w:tc>
        <w:tc>
          <w:tcPr>
            <w:tcW w:w="3328" w:type="dxa"/>
            <w:tcBorders>
              <w:top w:val="nil"/>
              <w:left w:val="nil"/>
              <w:bottom w:val="single" w:sz="4" w:space="0" w:color="auto"/>
              <w:right w:val="single" w:sz="4" w:space="0" w:color="auto"/>
            </w:tcBorders>
            <w:noWrap/>
            <w:vAlign w:val="center"/>
            <w:hideMark/>
          </w:tcPr>
          <w:p w14:paraId="4F00E9EB"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 xml:space="preserve">Atminties modulis  </w:t>
            </w:r>
          </w:p>
        </w:tc>
        <w:tc>
          <w:tcPr>
            <w:tcW w:w="1710" w:type="dxa"/>
            <w:tcBorders>
              <w:top w:val="nil"/>
              <w:left w:val="nil"/>
              <w:bottom w:val="single" w:sz="4" w:space="0" w:color="auto"/>
              <w:right w:val="single" w:sz="4" w:space="0" w:color="auto"/>
            </w:tcBorders>
            <w:vAlign w:val="center"/>
            <w:hideMark/>
          </w:tcPr>
          <w:p w14:paraId="711ABE73"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2A093911"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611822D7"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0B5970F6" w14:textId="08498453" w:rsidR="00820343" w:rsidRPr="00820343" w:rsidRDefault="00BB6089"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 xml:space="preserve">1.3. </w:t>
            </w:r>
          </w:p>
        </w:tc>
        <w:tc>
          <w:tcPr>
            <w:tcW w:w="3328" w:type="dxa"/>
            <w:tcBorders>
              <w:top w:val="nil"/>
              <w:left w:val="nil"/>
              <w:bottom w:val="single" w:sz="4" w:space="0" w:color="auto"/>
              <w:right w:val="single" w:sz="4" w:space="0" w:color="auto"/>
            </w:tcBorders>
            <w:noWrap/>
            <w:vAlign w:val="center"/>
            <w:hideMark/>
          </w:tcPr>
          <w:p w14:paraId="014F5561"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Parkomato apatinės dalies (montavimo skyriaus) durelės</w:t>
            </w:r>
          </w:p>
        </w:tc>
        <w:tc>
          <w:tcPr>
            <w:tcW w:w="1710" w:type="dxa"/>
            <w:tcBorders>
              <w:top w:val="nil"/>
              <w:left w:val="nil"/>
              <w:bottom w:val="single" w:sz="4" w:space="0" w:color="auto"/>
              <w:right w:val="single" w:sz="4" w:space="0" w:color="auto"/>
            </w:tcBorders>
            <w:vAlign w:val="center"/>
            <w:hideMark/>
          </w:tcPr>
          <w:p w14:paraId="5B8B0CB4"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00734484"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60</w:t>
            </w:r>
          </w:p>
        </w:tc>
      </w:tr>
      <w:tr w:rsidR="00820343" w:rsidRPr="007D3B74" w14:paraId="0065805E"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75FD765C" w14:textId="469FB9A2" w:rsidR="00820343" w:rsidRPr="00820343" w:rsidRDefault="00BB6089"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1.4.</w:t>
            </w:r>
          </w:p>
        </w:tc>
        <w:tc>
          <w:tcPr>
            <w:tcW w:w="3328" w:type="dxa"/>
            <w:tcBorders>
              <w:top w:val="nil"/>
              <w:left w:val="nil"/>
              <w:bottom w:val="single" w:sz="4" w:space="0" w:color="auto"/>
              <w:right w:val="single" w:sz="4" w:space="0" w:color="auto"/>
            </w:tcBorders>
            <w:noWrap/>
            <w:vAlign w:val="center"/>
            <w:hideMark/>
          </w:tcPr>
          <w:p w14:paraId="17B28E14"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Parkomato viršutinės durelės (techninio skyriaus) durelės</w:t>
            </w:r>
          </w:p>
        </w:tc>
        <w:tc>
          <w:tcPr>
            <w:tcW w:w="1710" w:type="dxa"/>
            <w:tcBorders>
              <w:top w:val="nil"/>
              <w:left w:val="nil"/>
              <w:bottom w:val="single" w:sz="4" w:space="0" w:color="auto"/>
              <w:right w:val="single" w:sz="4" w:space="0" w:color="auto"/>
            </w:tcBorders>
            <w:vAlign w:val="center"/>
            <w:hideMark/>
          </w:tcPr>
          <w:p w14:paraId="3801430C"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2375FC87"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60</w:t>
            </w:r>
          </w:p>
        </w:tc>
      </w:tr>
      <w:tr w:rsidR="00820343" w:rsidRPr="007D3B74" w14:paraId="10A5DBD9"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50FA47E6" w14:textId="12A57683" w:rsidR="00820343" w:rsidRPr="00820343" w:rsidRDefault="00BB6089"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1.5.</w:t>
            </w:r>
          </w:p>
        </w:tc>
        <w:tc>
          <w:tcPr>
            <w:tcW w:w="3328" w:type="dxa"/>
            <w:tcBorders>
              <w:top w:val="nil"/>
              <w:left w:val="nil"/>
              <w:bottom w:val="single" w:sz="4" w:space="0" w:color="auto"/>
              <w:right w:val="single" w:sz="4" w:space="0" w:color="auto"/>
            </w:tcBorders>
            <w:noWrap/>
            <w:vAlign w:val="center"/>
            <w:hideMark/>
          </w:tcPr>
          <w:p w14:paraId="2CA533C6"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Parkomato inkasavimo skyriaus durelės</w:t>
            </w:r>
          </w:p>
        </w:tc>
        <w:tc>
          <w:tcPr>
            <w:tcW w:w="1710" w:type="dxa"/>
            <w:tcBorders>
              <w:top w:val="nil"/>
              <w:left w:val="nil"/>
              <w:bottom w:val="single" w:sz="4" w:space="0" w:color="auto"/>
              <w:right w:val="single" w:sz="4" w:space="0" w:color="auto"/>
            </w:tcBorders>
            <w:vAlign w:val="center"/>
            <w:hideMark/>
          </w:tcPr>
          <w:p w14:paraId="58C00666"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59C25E3B"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60</w:t>
            </w:r>
          </w:p>
        </w:tc>
      </w:tr>
      <w:tr w:rsidR="00820343" w:rsidRPr="007D3B74" w14:paraId="68ED9A1A"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45EFC236" w14:textId="14E18CDD" w:rsidR="00820343" w:rsidRPr="00820343" w:rsidRDefault="00BB6089"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1.6.</w:t>
            </w:r>
          </w:p>
        </w:tc>
        <w:tc>
          <w:tcPr>
            <w:tcW w:w="3328" w:type="dxa"/>
            <w:tcBorders>
              <w:top w:val="nil"/>
              <w:left w:val="nil"/>
              <w:bottom w:val="single" w:sz="4" w:space="0" w:color="auto"/>
              <w:right w:val="single" w:sz="4" w:space="0" w:color="auto"/>
            </w:tcBorders>
            <w:noWrap/>
            <w:vAlign w:val="center"/>
            <w:hideMark/>
          </w:tcPr>
          <w:p w14:paraId="19FA7C2B"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Parkomato korpusas</w:t>
            </w:r>
          </w:p>
        </w:tc>
        <w:tc>
          <w:tcPr>
            <w:tcW w:w="1710" w:type="dxa"/>
            <w:tcBorders>
              <w:top w:val="nil"/>
              <w:left w:val="nil"/>
              <w:bottom w:val="single" w:sz="4" w:space="0" w:color="auto"/>
              <w:right w:val="single" w:sz="4" w:space="0" w:color="auto"/>
            </w:tcBorders>
            <w:vAlign w:val="center"/>
            <w:hideMark/>
          </w:tcPr>
          <w:p w14:paraId="397A3C56"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21698A5B"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60</w:t>
            </w:r>
          </w:p>
        </w:tc>
      </w:tr>
      <w:tr w:rsidR="00820343" w:rsidRPr="007D3B74" w14:paraId="3D12A7D0"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7E3DB780" w14:textId="71A3E5B1" w:rsidR="00820343" w:rsidRPr="00820343" w:rsidRDefault="00BB6089"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1.7.</w:t>
            </w:r>
          </w:p>
        </w:tc>
        <w:tc>
          <w:tcPr>
            <w:tcW w:w="3328" w:type="dxa"/>
            <w:tcBorders>
              <w:top w:val="nil"/>
              <w:left w:val="nil"/>
              <w:bottom w:val="single" w:sz="4" w:space="0" w:color="auto"/>
              <w:right w:val="single" w:sz="4" w:space="0" w:color="auto"/>
            </w:tcBorders>
            <w:noWrap/>
            <w:vAlign w:val="center"/>
            <w:hideMark/>
          </w:tcPr>
          <w:p w14:paraId="20B5A476"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Apatinė panelė</w:t>
            </w:r>
          </w:p>
        </w:tc>
        <w:tc>
          <w:tcPr>
            <w:tcW w:w="1710" w:type="dxa"/>
            <w:tcBorders>
              <w:top w:val="nil"/>
              <w:left w:val="nil"/>
              <w:bottom w:val="single" w:sz="4" w:space="0" w:color="auto"/>
              <w:right w:val="single" w:sz="4" w:space="0" w:color="auto"/>
            </w:tcBorders>
            <w:vAlign w:val="center"/>
            <w:hideMark/>
          </w:tcPr>
          <w:p w14:paraId="7372F930"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1CCE9ABB"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34B735B4"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0FBCB307" w14:textId="18459B8F" w:rsidR="00820343" w:rsidRPr="00820343" w:rsidRDefault="00BB6089"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1.8.</w:t>
            </w:r>
          </w:p>
        </w:tc>
        <w:tc>
          <w:tcPr>
            <w:tcW w:w="3328" w:type="dxa"/>
            <w:tcBorders>
              <w:top w:val="nil"/>
              <w:left w:val="nil"/>
              <w:bottom w:val="single" w:sz="4" w:space="0" w:color="auto"/>
              <w:right w:val="single" w:sz="4" w:space="0" w:color="auto"/>
            </w:tcBorders>
            <w:noWrap/>
            <w:vAlign w:val="center"/>
            <w:hideMark/>
          </w:tcPr>
          <w:p w14:paraId="552CCC90"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Viršutinė panelė su lietimui jautria klaviatūra (be lipduko)</w:t>
            </w:r>
          </w:p>
        </w:tc>
        <w:tc>
          <w:tcPr>
            <w:tcW w:w="1710" w:type="dxa"/>
            <w:tcBorders>
              <w:top w:val="nil"/>
              <w:left w:val="nil"/>
              <w:bottom w:val="single" w:sz="4" w:space="0" w:color="auto"/>
              <w:right w:val="single" w:sz="4" w:space="0" w:color="auto"/>
            </w:tcBorders>
            <w:vAlign w:val="center"/>
            <w:hideMark/>
          </w:tcPr>
          <w:p w14:paraId="32B092EB"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3B011CB6"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1DB7939C"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73940E15" w14:textId="7263E149" w:rsidR="00820343" w:rsidRPr="00820343" w:rsidRDefault="00BB6089"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.1.9.</w:t>
            </w:r>
          </w:p>
        </w:tc>
        <w:tc>
          <w:tcPr>
            <w:tcW w:w="3328" w:type="dxa"/>
            <w:tcBorders>
              <w:top w:val="nil"/>
              <w:left w:val="nil"/>
              <w:bottom w:val="single" w:sz="4" w:space="0" w:color="auto"/>
              <w:right w:val="single" w:sz="4" w:space="0" w:color="auto"/>
            </w:tcBorders>
            <w:noWrap/>
            <w:vAlign w:val="center"/>
            <w:hideMark/>
          </w:tcPr>
          <w:p w14:paraId="11ED37B7"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Modemas</w:t>
            </w:r>
          </w:p>
        </w:tc>
        <w:tc>
          <w:tcPr>
            <w:tcW w:w="1710" w:type="dxa"/>
            <w:tcBorders>
              <w:top w:val="nil"/>
              <w:left w:val="nil"/>
              <w:bottom w:val="single" w:sz="4" w:space="0" w:color="auto"/>
              <w:right w:val="single" w:sz="4" w:space="0" w:color="auto"/>
            </w:tcBorders>
            <w:vAlign w:val="center"/>
            <w:hideMark/>
          </w:tcPr>
          <w:p w14:paraId="547F132A"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2A0F0821"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3AD0BE80"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26A6954D" w14:textId="6E4FEADF" w:rsidR="00820343" w:rsidRPr="00820343" w:rsidRDefault="00BB6089"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2</w:t>
            </w:r>
            <w:r w:rsidR="002F096E">
              <w:rPr>
                <w:rFonts w:ascii="Montserrat" w:eastAsia="Calibri" w:hAnsi="Montserrat" w:cs="Arial"/>
                <w:sz w:val="20"/>
                <w:szCs w:val="20"/>
              </w:rPr>
              <w:t>.</w:t>
            </w:r>
            <w:r w:rsidR="00534804">
              <w:rPr>
                <w:rFonts w:ascii="Montserrat" w:eastAsia="Calibri" w:hAnsi="Montserrat" w:cs="Arial"/>
                <w:sz w:val="20"/>
                <w:szCs w:val="20"/>
              </w:rPr>
              <w:t>0.</w:t>
            </w:r>
          </w:p>
        </w:tc>
        <w:tc>
          <w:tcPr>
            <w:tcW w:w="3328" w:type="dxa"/>
            <w:tcBorders>
              <w:top w:val="nil"/>
              <w:left w:val="nil"/>
              <w:bottom w:val="single" w:sz="4" w:space="0" w:color="auto"/>
              <w:right w:val="single" w:sz="4" w:space="0" w:color="auto"/>
            </w:tcBorders>
            <w:noWrap/>
            <w:vAlign w:val="center"/>
            <w:hideMark/>
          </w:tcPr>
          <w:p w14:paraId="5FBA6557"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Inkasavimo rakto dublikatas pagal unikalų bilietų automato numerį</w:t>
            </w:r>
          </w:p>
        </w:tc>
        <w:tc>
          <w:tcPr>
            <w:tcW w:w="1710" w:type="dxa"/>
            <w:tcBorders>
              <w:top w:val="nil"/>
              <w:left w:val="nil"/>
              <w:bottom w:val="single" w:sz="4" w:space="0" w:color="auto"/>
              <w:right w:val="single" w:sz="4" w:space="0" w:color="auto"/>
            </w:tcBorders>
            <w:vAlign w:val="center"/>
            <w:hideMark/>
          </w:tcPr>
          <w:p w14:paraId="0CCEA78E"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6EFEAA1B"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60</w:t>
            </w:r>
          </w:p>
        </w:tc>
      </w:tr>
      <w:tr w:rsidR="00820343" w:rsidRPr="007D3B74" w14:paraId="42DB9BEE"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75291587" w14:textId="5B7CC1F1" w:rsidR="00820343" w:rsidRPr="00820343" w:rsidRDefault="002F096E"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2.1.</w:t>
            </w:r>
          </w:p>
        </w:tc>
        <w:tc>
          <w:tcPr>
            <w:tcW w:w="3328" w:type="dxa"/>
            <w:tcBorders>
              <w:top w:val="nil"/>
              <w:left w:val="nil"/>
              <w:bottom w:val="single" w:sz="4" w:space="0" w:color="auto"/>
              <w:right w:val="single" w:sz="4" w:space="0" w:color="auto"/>
            </w:tcBorders>
            <w:noWrap/>
            <w:vAlign w:val="center"/>
            <w:hideMark/>
          </w:tcPr>
          <w:p w14:paraId="442BE4DD"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Inkasavimo stalčius su 2 raktais</w:t>
            </w:r>
          </w:p>
        </w:tc>
        <w:tc>
          <w:tcPr>
            <w:tcW w:w="1710" w:type="dxa"/>
            <w:tcBorders>
              <w:top w:val="nil"/>
              <w:left w:val="nil"/>
              <w:bottom w:val="single" w:sz="4" w:space="0" w:color="auto"/>
              <w:right w:val="single" w:sz="4" w:space="0" w:color="auto"/>
            </w:tcBorders>
            <w:vAlign w:val="center"/>
            <w:hideMark/>
          </w:tcPr>
          <w:p w14:paraId="62F7BFD6"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55874E81"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78804E7A"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7DF9D6F8" w14:textId="35498A06" w:rsidR="00820343" w:rsidRPr="00820343" w:rsidRDefault="002F096E"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2.2.</w:t>
            </w:r>
          </w:p>
        </w:tc>
        <w:tc>
          <w:tcPr>
            <w:tcW w:w="3328" w:type="dxa"/>
            <w:tcBorders>
              <w:top w:val="nil"/>
              <w:left w:val="nil"/>
              <w:bottom w:val="single" w:sz="4" w:space="0" w:color="auto"/>
              <w:right w:val="single" w:sz="4" w:space="0" w:color="auto"/>
            </w:tcBorders>
            <w:noWrap/>
            <w:vAlign w:val="center"/>
            <w:hideMark/>
          </w:tcPr>
          <w:p w14:paraId="74B8DC4E"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Komutacinė plokštė</w:t>
            </w:r>
          </w:p>
        </w:tc>
        <w:tc>
          <w:tcPr>
            <w:tcW w:w="1710" w:type="dxa"/>
            <w:tcBorders>
              <w:top w:val="nil"/>
              <w:left w:val="nil"/>
              <w:bottom w:val="single" w:sz="4" w:space="0" w:color="auto"/>
              <w:right w:val="single" w:sz="4" w:space="0" w:color="auto"/>
            </w:tcBorders>
            <w:vAlign w:val="center"/>
            <w:hideMark/>
          </w:tcPr>
          <w:p w14:paraId="72E8920C"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5</w:t>
            </w:r>
          </w:p>
        </w:tc>
        <w:tc>
          <w:tcPr>
            <w:tcW w:w="2610" w:type="dxa"/>
            <w:tcBorders>
              <w:top w:val="nil"/>
              <w:left w:val="nil"/>
              <w:bottom w:val="single" w:sz="4" w:space="0" w:color="auto"/>
              <w:right w:val="single" w:sz="4" w:space="0" w:color="auto"/>
            </w:tcBorders>
          </w:tcPr>
          <w:p w14:paraId="5F37BDFC"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1A1B1700"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6D4F87AB" w14:textId="024EFF14" w:rsidR="00820343" w:rsidRPr="00820343" w:rsidRDefault="002F096E"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2.3.</w:t>
            </w:r>
          </w:p>
        </w:tc>
        <w:tc>
          <w:tcPr>
            <w:tcW w:w="3328" w:type="dxa"/>
            <w:tcBorders>
              <w:top w:val="nil"/>
              <w:left w:val="nil"/>
              <w:bottom w:val="single" w:sz="4" w:space="0" w:color="auto"/>
              <w:right w:val="single" w:sz="4" w:space="0" w:color="auto"/>
            </w:tcBorders>
            <w:noWrap/>
            <w:vAlign w:val="center"/>
            <w:hideMark/>
          </w:tcPr>
          <w:p w14:paraId="1F1493F3"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Monetų skirstytuvas</w:t>
            </w:r>
          </w:p>
        </w:tc>
        <w:tc>
          <w:tcPr>
            <w:tcW w:w="1710" w:type="dxa"/>
            <w:tcBorders>
              <w:top w:val="nil"/>
              <w:left w:val="nil"/>
              <w:bottom w:val="single" w:sz="4" w:space="0" w:color="auto"/>
              <w:right w:val="single" w:sz="4" w:space="0" w:color="auto"/>
            </w:tcBorders>
            <w:vAlign w:val="center"/>
            <w:hideMark/>
          </w:tcPr>
          <w:p w14:paraId="737C893F"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0BAA2A07"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3217AD83"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1C4E2748" w14:textId="752DA48C" w:rsidR="00820343" w:rsidRPr="00820343" w:rsidRDefault="002F096E"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.2.4.</w:t>
            </w:r>
          </w:p>
        </w:tc>
        <w:tc>
          <w:tcPr>
            <w:tcW w:w="3328" w:type="dxa"/>
            <w:tcBorders>
              <w:top w:val="nil"/>
              <w:left w:val="nil"/>
              <w:bottom w:val="single" w:sz="4" w:space="0" w:color="auto"/>
              <w:right w:val="single" w:sz="4" w:space="0" w:color="auto"/>
            </w:tcBorders>
            <w:noWrap/>
            <w:vAlign w:val="center"/>
            <w:hideMark/>
          </w:tcPr>
          <w:p w14:paraId="7D45A52F"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Pagrindinė plokštė</w:t>
            </w:r>
          </w:p>
        </w:tc>
        <w:tc>
          <w:tcPr>
            <w:tcW w:w="1710" w:type="dxa"/>
            <w:tcBorders>
              <w:top w:val="nil"/>
              <w:left w:val="nil"/>
              <w:bottom w:val="single" w:sz="4" w:space="0" w:color="auto"/>
              <w:right w:val="single" w:sz="4" w:space="0" w:color="auto"/>
            </w:tcBorders>
            <w:vAlign w:val="center"/>
            <w:hideMark/>
          </w:tcPr>
          <w:p w14:paraId="73DEE678"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493C8719"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23297A84"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516855DA" w14:textId="50723B60" w:rsidR="00820343" w:rsidRPr="00820343" w:rsidRDefault="002F096E"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2.5.</w:t>
            </w:r>
          </w:p>
        </w:tc>
        <w:tc>
          <w:tcPr>
            <w:tcW w:w="3328" w:type="dxa"/>
            <w:tcBorders>
              <w:top w:val="nil"/>
              <w:left w:val="nil"/>
              <w:bottom w:val="single" w:sz="4" w:space="0" w:color="auto"/>
              <w:right w:val="single" w:sz="4" w:space="0" w:color="auto"/>
            </w:tcBorders>
            <w:noWrap/>
            <w:vAlign w:val="center"/>
            <w:hideMark/>
          </w:tcPr>
          <w:p w14:paraId="2AB26F2D"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Terminis spausdintuvas</w:t>
            </w:r>
          </w:p>
        </w:tc>
        <w:tc>
          <w:tcPr>
            <w:tcW w:w="1710" w:type="dxa"/>
            <w:tcBorders>
              <w:top w:val="nil"/>
              <w:left w:val="nil"/>
              <w:bottom w:val="single" w:sz="4" w:space="0" w:color="auto"/>
              <w:right w:val="single" w:sz="4" w:space="0" w:color="auto"/>
            </w:tcBorders>
            <w:vAlign w:val="center"/>
            <w:hideMark/>
          </w:tcPr>
          <w:p w14:paraId="1A5FE92B"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6C80C599"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07FCBA29"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094DDE37" w14:textId="6D22737F" w:rsidR="00820343" w:rsidRPr="00820343" w:rsidRDefault="002F096E"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2.6.</w:t>
            </w:r>
          </w:p>
        </w:tc>
        <w:tc>
          <w:tcPr>
            <w:tcW w:w="3328" w:type="dxa"/>
            <w:tcBorders>
              <w:top w:val="nil"/>
              <w:left w:val="nil"/>
              <w:bottom w:val="single" w:sz="4" w:space="0" w:color="auto"/>
              <w:right w:val="single" w:sz="4" w:space="0" w:color="auto"/>
            </w:tcBorders>
            <w:noWrap/>
            <w:vAlign w:val="center"/>
            <w:hideMark/>
          </w:tcPr>
          <w:p w14:paraId="0B52A9AB"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Grafinis ekranas</w:t>
            </w:r>
          </w:p>
        </w:tc>
        <w:tc>
          <w:tcPr>
            <w:tcW w:w="1710" w:type="dxa"/>
            <w:tcBorders>
              <w:top w:val="nil"/>
              <w:left w:val="nil"/>
              <w:bottom w:val="single" w:sz="4" w:space="0" w:color="auto"/>
              <w:right w:val="single" w:sz="4" w:space="0" w:color="auto"/>
            </w:tcBorders>
            <w:vAlign w:val="center"/>
            <w:hideMark/>
          </w:tcPr>
          <w:p w14:paraId="7D43B5BF"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29A05C2C"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2FA1DDE1"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057E76E3" w14:textId="0720EC69" w:rsidR="00820343" w:rsidRPr="00820343" w:rsidRDefault="002F096E"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2.7.</w:t>
            </w:r>
          </w:p>
        </w:tc>
        <w:tc>
          <w:tcPr>
            <w:tcW w:w="3328" w:type="dxa"/>
            <w:tcBorders>
              <w:top w:val="nil"/>
              <w:left w:val="nil"/>
              <w:bottom w:val="single" w:sz="4" w:space="0" w:color="auto"/>
              <w:right w:val="single" w:sz="4" w:space="0" w:color="auto"/>
            </w:tcBorders>
            <w:noWrap/>
            <w:vAlign w:val="center"/>
            <w:hideMark/>
          </w:tcPr>
          <w:p w14:paraId="5FA39A96"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Viršutinis dangtis su saulės baterijomis</w:t>
            </w:r>
          </w:p>
        </w:tc>
        <w:tc>
          <w:tcPr>
            <w:tcW w:w="1710" w:type="dxa"/>
            <w:tcBorders>
              <w:top w:val="nil"/>
              <w:left w:val="nil"/>
              <w:bottom w:val="single" w:sz="4" w:space="0" w:color="auto"/>
              <w:right w:val="single" w:sz="4" w:space="0" w:color="auto"/>
            </w:tcBorders>
            <w:vAlign w:val="center"/>
            <w:hideMark/>
          </w:tcPr>
          <w:p w14:paraId="226E4835"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7BD4D950"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3A8692FA"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6FC9D87A" w14:textId="27F485D8" w:rsidR="00820343" w:rsidRPr="00820343" w:rsidRDefault="002F096E"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2.8.</w:t>
            </w:r>
          </w:p>
        </w:tc>
        <w:tc>
          <w:tcPr>
            <w:tcW w:w="3328" w:type="dxa"/>
            <w:tcBorders>
              <w:top w:val="nil"/>
              <w:left w:val="nil"/>
              <w:bottom w:val="single" w:sz="4" w:space="0" w:color="auto"/>
              <w:right w:val="single" w:sz="4" w:space="0" w:color="auto"/>
            </w:tcBorders>
            <w:noWrap/>
            <w:vAlign w:val="center"/>
            <w:hideMark/>
          </w:tcPr>
          <w:p w14:paraId="2D82B50F"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Bekontaktė bankinio atsiskaitymo antena</w:t>
            </w:r>
          </w:p>
        </w:tc>
        <w:tc>
          <w:tcPr>
            <w:tcW w:w="1710" w:type="dxa"/>
            <w:tcBorders>
              <w:top w:val="nil"/>
              <w:left w:val="nil"/>
              <w:bottom w:val="single" w:sz="4" w:space="0" w:color="auto"/>
              <w:right w:val="single" w:sz="4" w:space="0" w:color="auto"/>
            </w:tcBorders>
            <w:vAlign w:val="center"/>
            <w:hideMark/>
          </w:tcPr>
          <w:p w14:paraId="0A68DA4B"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738B1A8D"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60</w:t>
            </w:r>
          </w:p>
        </w:tc>
      </w:tr>
      <w:tr w:rsidR="00820343" w:rsidRPr="007D3B74" w14:paraId="1587C2D9"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57C14F1F" w14:textId="1070E4B3" w:rsidR="00820343" w:rsidRPr="00820343" w:rsidRDefault="002F096E"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2.9.</w:t>
            </w:r>
          </w:p>
        </w:tc>
        <w:tc>
          <w:tcPr>
            <w:tcW w:w="3328" w:type="dxa"/>
            <w:tcBorders>
              <w:top w:val="nil"/>
              <w:left w:val="nil"/>
              <w:bottom w:val="single" w:sz="4" w:space="0" w:color="auto"/>
              <w:right w:val="single" w:sz="4" w:space="0" w:color="auto"/>
            </w:tcBorders>
            <w:noWrap/>
            <w:vAlign w:val="center"/>
            <w:hideMark/>
          </w:tcPr>
          <w:p w14:paraId="2E052AFC"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Bekontakčio bankinio skaitytuvo pajungimo plokštė</w:t>
            </w:r>
          </w:p>
        </w:tc>
        <w:tc>
          <w:tcPr>
            <w:tcW w:w="1710" w:type="dxa"/>
            <w:tcBorders>
              <w:top w:val="nil"/>
              <w:left w:val="nil"/>
              <w:bottom w:val="single" w:sz="4" w:space="0" w:color="auto"/>
              <w:right w:val="single" w:sz="4" w:space="0" w:color="auto"/>
            </w:tcBorders>
            <w:vAlign w:val="center"/>
            <w:hideMark/>
          </w:tcPr>
          <w:p w14:paraId="174ECD68"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452AC9AD"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r w:rsidR="00820343" w:rsidRPr="007D3B74" w14:paraId="4825F00F" w14:textId="77777777" w:rsidTr="00B3270D">
        <w:trPr>
          <w:cantSplit/>
          <w:trHeight w:val="295"/>
        </w:trPr>
        <w:tc>
          <w:tcPr>
            <w:tcW w:w="1982" w:type="dxa"/>
            <w:tcBorders>
              <w:top w:val="nil"/>
              <w:left w:val="single" w:sz="4" w:space="0" w:color="auto"/>
              <w:bottom w:val="single" w:sz="4" w:space="0" w:color="auto"/>
              <w:right w:val="single" w:sz="4" w:space="0" w:color="auto"/>
            </w:tcBorders>
            <w:noWrap/>
            <w:vAlign w:val="center"/>
          </w:tcPr>
          <w:p w14:paraId="144ABFDF" w14:textId="7E29F8A8" w:rsidR="00820343" w:rsidRPr="00820343" w:rsidRDefault="002F096E" w:rsidP="00D64883">
            <w:pPr>
              <w:pStyle w:val="NormalWeb"/>
              <w:spacing w:before="0" w:beforeAutospacing="0" w:after="0" w:afterAutospacing="0"/>
              <w:ind w:left="720"/>
              <w:jc w:val="both"/>
              <w:rPr>
                <w:rFonts w:ascii="Montserrat" w:eastAsia="Calibri" w:hAnsi="Montserrat" w:cs="Arial"/>
                <w:sz w:val="20"/>
                <w:szCs w:val="20"/>
              </w:rPr>
            </w:pPr>
            <w:r>
              <w:rPr>
                <w:rFonts w:ascii="Montserrat" w:eastAsia="Calibri" w:hAnsi="Montserrat" w:cs="Arial"/>
                <w:sz w:val="20"/>
                <w:szCs w:val="20"/>
              </w:rPr>
              <w:t>3.</w:t>
            </w:r>
          </w:p>
        </w:tc>
        <w:tc>
          <w:tcPr>
            <w:tcW w:w="3328" w:type="dxa"/>
            <w:tcBorders>
              <w:top w:val="nil"/>
              <w:left w:val="nil"/>
              <w:bottom w:val="single" w:sz="4" w:space="0" w:color="auto"/>
              <w:right w:val="single" w:sz="4" w:space="0" w:color="auto"/>
            </w:tcBorders>
            <w:noWrap/>
            <w:vAlign w:val="center"/>
            <w:hideMark/>
          </w:tcPr>
          <w:p w14:paraId="12AF9AF7" w14:textId="77777777" w:rsidR="00820343" w:rsidRPr="007D3B74" w:rsidRDefault="00820343" w:rsidP="00820343">
            <w:pPr>
              <w:spacing w:after="0" w:line="240" w:lineRule="auto"/>
              <w:rPr>
                <w:rFonts w:ascii="Montserrat" w:eastAsia="Times New Roman" w:hAnsi="Montserrat" w:cs="Arial"/>
                <w:color w:val="000000"/>
                <w:sz w:val="20"/>
                <w:szCs w:val="20"/>
                <w:lang w:val="lt-LT" w:eastAsia="lt-LT"/>
              </w:rPr>
            </w:pPr>
            <w:r w:rsidRPr="007D3B74">
              <w:rPr>
                <w:rFonts w:ascii="Montserrat" w:eastAsia="Times New Roman" w:hAnsi="Montserrat" w:cs="Arial"/>
                <w:color w:val="000000"/>
                <w:sz w:val="20"/>
                <w:szCs w:val="20"/>
                <w:lang w:val="lt-LT" w:eastAsia="lt-LT"/>
              </w:rPr>
              <w:t>Lipdukas bekontakčiam bankiniam skaitytuvui</w:t>
            </w:r>
          </w:p>
        </w:tc>
        <w:tc>
          <w:tcPr>
            <w:tcW w:w="1710" w:type="dxa"/>
            <w:tcBorders>
              <w:top w:val="nil"/>
              <w:left w:val="nil"/>
              <w:bottom w:val="single" w:sz="4" w:space="0" w:color="auto"/>
              <w:right w:val="single" w:sz="4" w:space="0" w:color="auto"/>
            </w:tcBorders>
            <w:vAlign w:val="center"/>
            <w:hideMark/>
          </w:tcPr>
          <w:p w14:paraId="75D8BE1C" w14:textId="77777777" w:rsidR="00820343" w:rsidRPr="007D3B74" w:rsidRDefault="00820343" w:rsidP="00820343">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p>
        </w:tc>
        <w:tc>
          <w:tcPr>
            <w:tcW w:w="2610" w:type="dxa"/>
            <w:tcBorders>
              <w:top w:val="nil"/>
              <w:left w:val="nil"/>
              <w:bottom w:val="single" w:sz="4" w:space="0" w:color="auto"/>
              <w:right w:val="single" w:sz="4" w:space="0" w:color="auto"/>
            </w:tcBorders>
          </w:tcPr>
          <w:p w14:paraId="170223D9" w14:textId="77777777" w:rsidR="00820343" w:rsidRPr="00AD52EF" w:rsidRDefault="00820343" w:rsidP="00820343">
            <w:pPr>
              <w:spacing w:after="0" w:line="240" w:lineRule="auto"/>
              <w:jc w:val="center"/>
              <w:rPr>
                <w:rFonts w:ascii="Montserrat" w:eastAsia="Times New Roman" w:hAnsi="Montserrat" w:cs="Arial"/>
                <w:sz w:val="20"/>
                <w:szCs w:val="20"/>
                <w:lang w:val="lt-LT" w:eastAsia="lt-LT"/>
              </w:rPr>
            </w:pPr>
            <w:r w:rsidRPr="00AD52EF">
              <w:rPr>
                <w:rFonts w:ascii="Montserrat" w:hAnsi="Montserrat"/>
                <w:sz w:val="20"/>
                <w:szCs w:val="20"/>
                <w:lang w:val="lt-LT"/>
              </w:rPr>
              <w:t>30</w:t>
            </w:r>
          </w:p>
        </w:tc>
      </w:tr>
    </w:tbl>
    <w:p w14:paraId="72773A13" w14:textId="77777777" w:rsidR="00820343" w:rsidRPr="001D1C55" w:rsidRDefault="00820343" w:rsidP="00820343">
      <w:pPr>
        <w:pStyle w:val="ListParagraph"/>
        <w:spacing w:after="120" w:line="240" w:lineRule="auto"/>
        <w:ind w:left="360"/>
        <w:jc w:val="both"/>
        <w:rPr>
          <w:rFonts w:ascii="Montserrat" w:eastAsia="Calibri" w:hAnsi="Montserrat" w:cs="Arial"/>
          <w:sz w:val="20"/>
          <w:szCs w:val="20"/>
          <w:lang w:val="lt-LT"/>
        </w:rPr>
      </w:pPr>
      <w:r w:rsidRPr="0096512A">
        <w:rPr>
          <w:rFonts w:ascii="Montserrat" w:eastAsia="Calibri" w:hAnsi="Montserrat" w:cs="Arial"/>
          <w:sz w:val="20"/>
          <w:szCs w:val="20"/>
          <w:lang w:val="lt-LT"/>
        </w:rPr>
        <w:lastRenderedPageBreak/>
        <w:t>*</w:t>
      </w:r>
      <w:r w:rsidRPr="0096512A">
        <w:rPr>
          <w:rFonts w:ascii="Montserrat" w:hAnsi="Montserrat" w:cs="Arial"/>
          <w:sz w:val="20"/>
          <w:szCs w:val="20"/>
          <w:lang w:val="lt-LT"/>
        </w:rPr>
        <w:t xml:space="preserve"> </w:t>
      </w:r>
      <w:r>
        <w:rPr>
          <w:rFonts w:ascii="Montserrat" w:eastAsia="Calibri" w:hAnsi="Montserrat" w:cs="Arial"/>
          <w:sz w:val="20"/>
          <w:szCs w:val="20"/>
          <w:lang w:val="lt-LT"/>
        </w:rPr>
        <w:t>Perkama</w:t>
      </w:r>
      <w:r w:rsidRPr="0096512A">
        <w:rPr>
          <w:rFonts w:ascii="Montserrat" w:eastAsia="Calibri" w:hAnsi="Montserrat" w:cs="Arial"/>
          <w:sz w:val="20"/>
          <w:szCs w:val="20"/>
          <w:lang w:val="lt-LT"/>
        </w:rPr>
        <w:t xml:space="preserve"> pagal </w:t>
      </w:r>
      <w:r>
        <w:rPr>
          <w:rFonts w:ascii="Montserrat" w:eastAsia="Calibri" w:hAnsi="Montserrat" w:cs="Arial"/>
          <w:sz w:val="20"/>
          <w:szCs w:val="20"/>
          <w:lang w:val="lt-LT"/>
        </w:rPr>
        <w:t xml:space="preserve">Užsakovo </w:t>
      </w:r>
      <w:r w:rsidRPr="0096512A">
        <w:rPr>
          <w:rFonts w:ascii="Montserrat" w:eastAsia="Calibri" w:hAnsi="Montserrat" w:cs="Arial"/>
          <w:sz w:val="20"/>
          <w:szCs w:val="20"/>
          <w:lang w:val="lt-LT"/>
        </w:rPr>
        <w:t xml:space="preserve">poreikį. </w:t>
      </w:r>
      <w:r w:rsidRPr="0096512A">
        <w:rPr>
          <w:rFonts w:ascii="Montserrat" w:hAnsi="Montserrat" w:cs="Arial"/>
          <w:sz w:val="20"/>
          <w:szCs w:val="20"/>
          <w:lang w:val="lt-LT"/>
        </w:rPr>
        <w:t>Užsakovas</w:t>
      </w:r>
      <w:r w:rsidRPr="0096512A">
        <w:rPr>
          <w:rFonts w:ascii="Montserrat" w:eastAsia="Calibri" w:hAnsi="Montserrat" w:cs="Arial"/>
          <w:sz w:val="20"/>
          <w:szCs w:val="20"/>
          <w:lang w:val="lt-LT"/>
        </w:rPr>
        <w:t xml:space="preserve"> neįsipareigoja nupirkti viso </w:t>
      </w:r>
      <w:r>
        <w:rPr>
          <w:rFonts w:ascii="Montserrat" w:eastAsia="Calibri" w:hAnsi="Montserrat" w:cs="Arial"/>
          <w:sz w:val="20"/>
          <w:szCs w:val="20"/>
          <w:lang w:val="lt-LT"/>
        </w:rPr>
        <w:t>nurodyto preliminaraus</w:t>
      </w:r>
      <w:r w:rsidRPr="0096512A">
        <w:rPr>
          <w:rFonts w:ascii="Montserrat" w:eastAsia="Calibri" w:hAnsi="Montserrat" w:cs="Arial"/>
          <w:sz w:val="20"/>
          <w:szCs w:val="20"/>
          <w:lang w:val="lt-LT"/>
        </w:rPr>
        <w:t xml:space="preserve"> kiekio. </w:t>
      </w:r>
    </w:p>
    <w:p w14:paraId="62FBE7CE" w14:textId="0F3F0E40" w:rsidR="00820343" w:rsidRPr="00820343" w:rsidRDefault="00820343" w:rsidP="00037424">
      <w:pPr>
        <w:pStyle w:val="NormalWeb"/>
        <w:numPr>
          <w:ilvl w:val="0"/>
          <w:numId w:val="3"/>
        </w:numPr>
        <w:spacing w:before="0" w:beforeAutospacing="0" w:after="0" w:afterAutospacing="0"/>
        <w:ind w:left="426"/>
        <w:jc w:val="both"/>
        <w:rPr>
          <w:rFonts w:ascii="Montserrat" w:eastAsia="Calibri" w:hAnsi="Montserrat" w:cs="Arial"/>
          <w:sz w:val="20"/>
          <w:szCs w:val="20"/>
        </w:rPr>
      </w:pPr>
      <w:r w:rsidRPr="00820343">
        <w:rPr>
          <w:rFonts w:ascii="Montserrat" w:eastAsia="Calibri" w:hAnsi="Montserrat" w:cs="Arial"/>
          <w:sz w:val="20"/>
          <w:szCs w:val="20"/>
        </w:rPr>
        <w:t xml:space="preserve">Iki priėmimo </w:t>
      </w:r>
      <w:r w:rsidR="00915E43">
        <w:rPr>
          <w:rFonts w:ascii="Montserrat" w:eastAsia="Calibri" w:hAnsi="Montserrat" w:cs="Arial"/>
          <w:sz w:val="20"/>
          <w:szCs w:val="20"/>
        </w:rPr>
        <w:t xml:space="preserve">- </w:t>
      </w:r>
      <w:r w:rsidRPr="00820343">
        <w:rPr>
          <w:rFonts w:ascii="Montserrat" w:eastAsia="Calibri" w:hAnsi="Montserrat" w:cs="Arial"/>
          <w:sz w:val="20"/>
          <w:szCs w:val="20"/>
        </w:rPr>
        <w:t>perdavimo akto pasirašymo visa atsakomybė dėl atsarginių detalių praradimo ar sugadinimo tenka Tiekėjui.</w:t>
      </w:r>
    </w:p>
    <w:p w14:paraId="74F8C23E" w14:textId="77777777" w:rsidR="00820343" w:rsidRPr="00820343" w:rsidRDefault="00820343" w:rsidP="00037424">
      <w:pPr>
        <w:pStyle w:val="NormalWeb"/>
        <w:numPr>
          <w:ilvl w:val="0"/>
          <w:numId w:val="3"/>
        </w:numPr>
        <w:spacing w:before="0" w:beforeAutospacing="0" w:after="0" w:afterAutospacing="0"/>
        <w:ind w:left="426"/>
        <w:jc w:val="both"/>
        <w:rPr>
          <w:rFonts w:ascii="Montserrat" w:eastAsia="Calibri" w:hAnsi="Montserrat" w:cs="Arial"/>
          <w:sz w:val="20"/>
          <w:szCs w:val="20"/>
        </w:rPr>
      </w:pPr>
      <w:r w:rsidRPr="00820343">
        <w:rPr>
          <w:rFonts w:ascii="Montserrat" w:eastAsia="Calibri" w:hAnsi="Montserrat" w:cs="Arial"/>
          <w:sz w:val="20"/>
          <w:szCs w:val="20"/>
        </w:rPr>
        <w:t>Visa tiekiama įranga turi būti nauja, nenaudota (negali būti atnaujinta, restauruota (</w:t>
      </w:r>
      <w:r w:rsidRPr="00037424">
        <w:rPr>
          <w:rFonts w:ascii="Montserrat" w:eastAsia="Calibri" w:hAnsi="Montserrat" w:cs="Arial"/>
          <w:sz w:val="20"/>
          <w:szCs w:val="20"/>
        </w:rPr>
        <w:t>angl. refurbished</w:t>
      </w:r>
      <w:r w:rsidRPr="00820343">
        <w:rPr>
          <w:rFonts w:ascii="Montserrat" w:eastAsia="Calibri" w:hAnsi="Montserrat" w:cs="Arial"/>
          <w:sz w:val="20"/>
          <w:szCs w:val="20"/>
        </w:rPr>
        <w:t>).</w:t>
      </w:r>
    </w:p>
    <w:p w14:paraId="0640C0C2" w14:textId="77777777" w:rsidR="00820343" w:rsidRPr="00820343" w:rsidRDefault="00820343" w:rsidP="00037424">
      <w:pPr>
        <w:pStyle w:val="NormalWeb"/>
        <w:numPr>
          <w:ilvl w:val="0"/>
          <w:numId w:val="3"/>
        </w:numPr>
        <w:spacing w:before="0" w:beforeAutospacing="0" w:after="0" w:afterAutospacing="0"/>
        <w:ind w:left="426"/>
        <w:jc w:val="both"/>
        <w:rPr>
          <w:rFonts w:ascii="Montserrat" w:eastAsia="Calibri" w:hAnsi="Montserrat" w:cs="Arial"/>
          <w:sz w:val="20"/>
          <w:szCs w:val="20"/>
        </w:rPr>
      </w:pPr>
      <w:r w:rsidRPr="00820343">
        <w:rPr>
          <w:rFonts w:ascii="Montserrat" w:eastAsia="Calibri" w:hAnsi="Montserrat" w:cs="Arial"/>
          <w:sz w:val="20"/>
          <w:szCs w:val="20"/>
        </w:rPr>
        <w:t xml:space="preserve">Naujoms atsarginėms detalėms turi būti taikoma 12 mėn. garantija. </w:t>
      </w:r>
    </w:p>
    <w:p w14:paraId="7D2F8C3E" w14:textId="77777777" w:rsidR="00820343" w:rsidRPr="00820343" w:rsidRDefault="00820343" w:rsidP="00037424">
      <w:pPr>
        <w:pStyle w:val="NormalWeb"/>
        <w:numPr>
          <w:ilvl w:val="0"/>
          <w:numId w:val="3"/>
        </w:numPr>
        <w:spacing w:before="0" w:beforeAutospacing="0" w:after="0" w:afterAutospacing="0"/>
        <w:ind w:left="426"/>
        <w:jc w:val="both"/>
        <w:rPr>
          <w:rFonts w:ascii="Montserrat" w:eastAsia="Calibri" w:hAnsi="Montserrat" w:cs="Arial"/>
          <w:sz w:val="20"/>
          <w:szCs w:val="20"/>
        </w:rPr>
      </w:pPr>
      <w:r w:rsidRPr="00820343">
        <w:rPr>
          <w:rFonts w:ascii="Montserrat" w:eastAsia="Calibri" w:hAnsi="Montserrat" w:cs="Arial"/>
          <w:sz w:val="20"/>
          <w:szCs w:val="20"/>
        </w:rPr>
        <w:t>Bilietų automatų atsarginės detalės turi būti tinkamos naudoti pagal paskirtį. Bilietų automato atsarginių detalių tinkamumas naudoti pagal paskirtį reiškia, kad:</w:t>
      </w:r>
    </w:p>
    <w:p w14:paraId="24242873" w14:textId="77777777" w:rsidR="00820343" w:rsidRPr="00820343" w:rsidRDefault="00820343" w:rsidP="00AF076B">
      <w:pPr>
        <w:pStyle w:val="NormalWeb"/>
        <w:numPr>
          <w:ilvl w:val="1"/>
          <w:numId w:val="3"/>
        </w:numPr>
        <w:spacing w:before="0" w:beforeAutospacing="0" w:after="0" w:afterAutospacing="0"/>
        <w:jc w:val="both"/>
        <w:rPr>
          <w:rFonts w:ascii="Montserrat" w:eastAsia="Calibri" w:hAnsi="Montserrat" w:cs="Arial"/>
          <w:sz w:val="20"/>
          <w:szCs w:val="20"/>
        </w:rPr>
      </w:pPr>
      <w:r w:rsidRPr="00820343">
        <w:rPr>
          <w:rFonts w:ascii="Montserrat" w:eastAsia="Calibri" w:hAnsi="Montserrat" w:cs="Arial"/>
          <w:sz w:val="20"/>
          <w:szCs w:val="20"/>
        </w:rPr>
        <w:t>jos turi būti tinkamos naudoti Užsakovo eksploatuojamuose bilietų automatuose;</w:t>
      </w:r>
    </w:p>
    <w:p w14:paraId="1A309C6C" w14:textId="17C987E1" w:rsidR="00820343" w:rsidRPr="00820343" w:rsidRDefault="00820343" w:rsidP="00AF076B">
      <w:pPr>
        <w:pStyle w:val="NormalWeb"/>
        <w:numPr>
          <w:ilvl w:val="1"/>
          <w:numId w:val="3"/>
        </w:numPr>
        <w:spacing w:before="0" w:beforeAutospacing="0" w:after="0" w:afterAutospacing="0"/>
        <w:jc w:val="both"/>
        <w:rPr>
          <w:rFonts w:ascii="Montserrat" w:eastAsia="Calibri" w:hAnsi="Montserrat" w:cs="Arial"/>
          <w:sz w:val="20"/>
          <w:szCs w:val="20"/>
        </w:rPr>
      </w:pPr>
      <w:r w:rsidRPr="00820343">
        <w:rPr>
          <w:rFonts w:ascii="Montserrat" w:eastAsia="Calibri" w:hAnsi="Montserrat" w:cs="Arial"/>
          <w:sz w:val="20"/>
          <w:szCs w:val="20"/>
        </w:rPr>
        <w:t xml:space="preserve">atsargines detales </w:t>
      </w:r>
      <w:r w:rsidR="00F51FCC">
        <w:rPr>
          <w:rFonts w:ascii="Montserrat" w:eastAsia="Calibri" w:hAnsi="Montserrat" w:cs="Arial"/>
          <w:sz w:val="20"/>
          <w:szCs w:val="20"/>
        </w:rPr>
        <w:t>sumontavus</w:t>
      </w:r>
      <w:r w:rsidR="00F51FCC" w:rsidRPr="00820343">
        <w:rPr>
          <w:rFonts w:ascii="Montserrat" w:eastAsia="Calibri" w:hAnsi="Montserrat" w:cs="Arial"/>
          <w:sz w:val="20"/>
          <w:szCs w:val="20"/>
        </w:rPr>
        <w:t xml:space="preserve"> </w:t>
      </w:r>
      <w:r w:rsidRPr="00820343">
        <w:rPr>
          <w:rFonts w:ascii="Montserrat" w:eastAsia="Calibri" w:hAnsi="Montserrat" w:cs="Arial"/>
          <w:sz w:val="20"/>
          <w:szCs w:val="20"/>
        </w:rPr>
        <w:t>į Užsakovo eksploatuojamą bilietų automatą nereikia keisti (modifikuoti) kitų automato dalių ir atlikti programinių atnaujinimų, kad bilietų automatas veiktų ir atliktų visas funkcijas (rinktų rinkliavą, išduotų bilietus ir t.t.).</w:t>
      </w:r>
      <w:r w:rsidR="00D64883">
        <w:rPr>
          <w:rFonts w:ascii="Montserrat" w:eastAsia="Calibri" w:hAnsi="Montserrat" w:cs="Arial"/>
          <w:sz w:val="20"/>
          <w:szCs w:val="20"/>
        </w:rPr>
        <w:t xml:space="preserve"> </w:t>
      </w:r>
      <w:r w:rsidR="000D4D4E">
        <w:rPr>
          <w:rFonts w:ascii="Montserrat" w:eastAsia="Calibri" w:hAnsi="Montserrat" w:cs="Arial"/>
          <w:sz w:val="20"/>
          <w:szCs w:val="20"/>
        </w:rPr>
        <w:t xml:space="preserve">Anksčiau nurodytus veiksmus atliks pats Užsakovas. </w:t>
      </w:r>
    </w:p>
    <w:p w14:paraId="55ED8A23" w14:textId="77777777" w:rsidR="00820343" w:rsidRPr="00AB649C" w:rsidRDefault="00820343" w:rsidP="00C67886">
      <w:pPr>
        <w:pStyle w:val="ListParagraph"/>
        <w:widowControl w:val="0"/>
        <w:numPr>
          <w:ilvl w:val="0"/>
          <w:numId w:val="1"/>
        </w:numPr>
        <w:suppressAutoHyphens/>
        <w:autoSpaceDN w:val="0"/>
        <w:spacing w:before="240" w:after="240" w:line="240" w:lineRule="auto"/>
        <w:jc w:val="center"/>
        <w:textAlignment w:val="baseline"/>
        <w:rPr>
          <w:rFonts w:ascii="Montserrat" w:hAnsi="Montserrat" w:cs="Arial"/>
          <w:sz w:val="20"/>
          <w:szCs w:val="20"/>
        </w:rPr>
      </w:pPr>
      <w:r w:rsidRPr="00C67886">
        <w:rPr>
          <w:rFonts w:ascii="Montserrat" w:hAnsi="Montserrat" w:cs="Arial"/>
          <w:b/>
          <w:sz w:val="20"/>
          <w:szCs w:val="20"/>
          <w:lang w:val="lt-LT"/>
        </w:rPr>
        <w:t>REIKALAVIMAI</w:t>
      </w:r>
      <w:r>
        <w:rPr>
          <w:rFonts w:ascii="Montserrat" w:hAnsi="Montserrat" w:cs="Arial"/>
          <w:b/>
          <w:sz w:val="20"/>
          <w:szCs w:val="20"/>
        </w:rPr>
        <w:t xml:space="preserve"> BILIETŲ AUTOMATŲ NEVEIKIANČIŲ DETALIŲ REMONTO PASLAUGOMS</w:t>
      </w:r>
    </w:p>
    <w:p w14:paraId="14D955AE" w14:textId="77777777" w:rsidR="00820343" w:rsidRPr="00820343" w:rsidRDefault="00820343" w:rsidP="00AF076B">
      <w:pPr>
        <w:pStyle w:val="NormalWeb"/>
        <w:numPr>
          <w:ilvl w:val="0"/>
          <w:numId w:val="3"/>
        </w:numPr>
        <w:spacing w:before="0" w:beforeAutospacing="0" w:after="0" w:afterAutospacing="0"/>
        <w:ind w:left="426"/>
        <w:jc w:val="both"/>
        <w:rPr>
          <w:rFonts w:ascii="Montserrat" w:eastAsia="Calibri" w:hAnsi="Montserrat" w:cs="Arial"/>
          <w:sz w:val="20"/>
          <w:szCs w:val="20"/>
        </w:rPr>
      </w:pPr>
      <w:r w:rsidRPr="00820343">
        <w:rPr>
          <w:rFonts w:ascii="Montserrat" w:eastAsia="Calibri" w:hAnsi="Montserrat" w:cs="Arial"/>
          <w:sz w:val="20"/>
          <w:szCs w:val="20"/>
        </w:rPr>
        <w:t xml:space="preserve">Neveikiančių bilietų automatų detalių remonto paslaugų preliminarus kiekis: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969"/>
        <w:gridCol w:w="4498"/>
      </w:tblGrid>
      <w:tr w:rsidR="00820343" w:rsidRPr="00B35F1B" w14:paraId="546FAA26" w14:textId="77777777" w:rsidTr="00CF5E50">
        <w:trPr>
          <w:trHeight w:val="311"/>
        </w:trPr>
        <w:tc>
          <w:tcPr>
            <w:tcW w:w="1044" w:type="dxa"/>
            <w:hideMark/>
          </w:tcPr>
          <w:p w14:paraId="70B8BC70" w14:textId="77777777" w:rsidR="00820343" w:rsidRPr="00AB209F" w:rsidRDefault="00820343" w:rsidP="00820343">
            <w:pPr>
              <w:widowControl w:val="0"/>
              <w:suppressAutoHyphens/>
              <w:spacing w:after="0" w:line="240" w:lineRule="auto"/>
              <w:rPr>
                <w:rFonts w:ascii="Montserrat" w:eastAsia="Arial Unicode MS" w:hAnsi="Montserrat" w:cs="Arial"/>
                <w:b/>
                <w:bCs/>
                <w:kern w:val="1"/>
                <w:sz w:val="20"/>
                <w:szCs w:val="20"/>
              </w:rPr>
            </w:pPr>
            <w:r w:rsidRPr="00AB209F">
              <w:rPr>
                <w:rFonts w:ascii="Montserrat" w:eastAsia="Arial Unicode MS" w:hAnsi="Montserrat" w:cs="Arial"/>
                <w:b/>
                <w:bCs/>
                <w:kern w:val="1"/>
                <w:sz w:val="20"/>
                <w:szCs w:val="20"/>
              </w:rPr>
              <w:t>Eil. Nr.</w:t>
            </w:r>
          </w:p>
        </w:tc>
        <w:tc>
          <w:tcPr>
            <w:tcW w:w="3969" w:type="dxa"/>
            <w:hideMark/>
          </w:tcPr>
          <w:p w14:paraId="7A2218C8" w14:textId="77777777" w:rsidR="00820343" w:rsidRPr="00AB209F" w:rsidRDefault="00820343" w:rsidP="00820343">
            <w:pPr>
              <w:widowControl w:val="0"/>
              <w:suppressAutoHyphens/>
              <w:spacing w:after="0" w:line="240" w:lineRule="auto"/>
              <w:rPr>
                <w:rFonts w:ascii="Montserrat" w:eastAsia="Arial Unicode MS" w:hAnsi="Montserrat" w:cs="Arial"/>
                <w:b/>
                <w:bCs/>
                <w:kern w:val="1"/>
                <w:sz w:val="20"/>
                <w:szCs w:val="20"/>
              </w:rPr>
            </w:pPr>
            <w:proofErr w:type="spellStart"/>
            <w:r w:rsidRPr="00AB209F">
              <w:rPr>
                <w:rFonts w:ascii="Montserrat" w:eastAsia="Arial Unicode MS" w:hAnsi="Montserrat" w:cs="Arial"/>
                <w:b/>
                <w:bCs/>
                <w:kern w:val="1"/>
                <w:sz w:val="20"/>
                <w:szCs w:val="20"/>
              </w:rPr>
              <w:t>Pavadinimas</w:t>
            </w:r>
            <w:proofErr w:type="spellEnd"/>
          </w:p>
        </w:tc>
        <w:tc>
          <w:tcPr>
            <w:tcW w:w="4498" w:type="dxa"/>
            <w:hideMark/>
          </w:tcPr>
          <w:p w14:paraId="091DB9DB" w14:textId="7A60EAE2" w:rsidR="00820343" w:rsidRPr="00AB209F" w:rsidRDefault="00820343" w:rsidP="00820343">
            <w:pPr>
              <w:widowControl w:val="0"/>
              <w:suppressAutoHyphens/>
              <w:spacing w:after="0" w:line="240" w:lineRule="auto"/>
              <w:rPr>
                <w:rFonts w:ascii="Montserrat" w:eastAsia="Arial Unicode MS" w:hAnsi="Montserrat" w:cs="Arial"/>
                <w:b/>
                <w:bCs/>
                <w:kern w:val="1"/>
                <w:sz w:val="20"/>
                <w:szCs w:val="20"/>
              </w:rPr>
            </w:pPr>
            <w:proofErr w:type="spellStart"/>
            <w:r>
              <w:rPr>
                <w:rFonts w:ascii="Montserrat" w:eastAsia="Arial Unicode MS" w:hAnsi="Montserrat" w:cs="Arial"/>
                <w:b/>
                <w:bCs/>
                <w:kern w:val="1"/>
                <w:sz w:val="20"/>
                <w:szCs w:val="20"/>
              </w:rPr>
              <w:t>Preliminarus</w:t>
            </w:r>
            <w:proofErr w:type="spellEnd"/>
            <w:r w:rsidRPr="00AB209F">
              <w:rPr>
                <w:rFonts w:ascii="Montserrat" w:eastAsia="Arial Unicode MS" w:hAnsi="Montserrat" w:cs="Arial"/>
                <w:b/>
                <w:bCs/>
                <w:kern w:val="1"/>
                <w:sz w:val="20"/>
                <w:szCs w:val="20"/>
              </w:rPr>
              <w:t xml:space="preserve"> </w:t>
            </w:r>
            <w:proofErr w:type="spellStart"/>
            <w:r w:rsidRPr="00AB209F">
              <w:rPr>
                <w:rFonts w:ascii="Montserrat" w:eastAsia="Arial Unicode MS" w:hAnsi="Montserrat" w:cs="Arial"/>
                <w:b/>
                <w:bCs/>
                <w:kern w:val="1"/>
                <w:sz w:val="20"/>
                <w:szCs w:val="20"/>
              </w:rPr>
              <w:t>kiekis</w:t>
            </w:r>
            <w:proofErr w:type="spellEnd"/>
            <w:r>
              <w:rPr>
                <w:rFonts w:ascii="Montserrat" w:eastAsia="Arial Unicode MS" w:hAnsi="Montserrat" w:cs="Arial"/>
                <w:b/>
                <w:bCs/>
                <w:kern w:val="1"/>
                <w:sz w:val="20"/>
                <w:szCs w:val="20"/>
              </w:rPr>
              <w:t>,</w:t>
            </w:r>
            <w:r w:rsidRPr="00AB209F">
              <w:rPr>
                <w:rFonts w:ascii="Montserrat" w:eastAsia="Arial Unicode MS" w:hAnsi="Montserrat" w:cs="Arial"/>
                <w:b/>
                <w:bCs/>
                <w:kern w:val="1"/>
                <w:sz w:val="20"/>
                <w:szCs w:val="20"/>
              </w:rPr>
              <w:t xml:space="preserve"> </w:t>
            </w:r>
            <w:proofErr w:type="spellStart"/>
            <w:r w:rsidRPr="00AB209F">
              <w:rPr>
                <w:rFonts w:ascii="Montserrat" w:eastAsia="Arial Unicode MS" w:hAnsi="Montserrat" w:cs="Arial"/>
                <w:b/>
                <w:bCs/>
                <w:kern w:val="1"/>
                <w:sz w:val="20"/>
                <w:szCs w:val="20"/>
              </w:rPr>
              <w:t>vnt</w:t>
            </w:r>
            <w:proofErr w:type="spellEnd"/>
            <w:r w:rsidRPr="00AB209F">
              <w:rPr>
                <w:rFonts w:ascii="Montserrat" w:eastAsia="Arial Unicode MS" w:hAnsi="Montserrat" w:cs="Arial"/>
                <w:b/>
                <w:bCs/>
                <w:kern w:val="1"/>
                <w:sz w:val="20"/>
                <w:szCs w:val="20"/>
              </w:rPr>
              <w:t>.</w:t>
            </w:r>
            <w:r>
              <w:rPr>
                <w:rFonts w:ascii="Montserrat" w:eastAsia="Arial Unicode MS" w:hAnsi="Montserrat" w:cs="Arial"/>
                <w:b/>
                <w:bCs/>
                <w:kern w:val="1"/>
                <w:sz w:val="20"/>
                <w:szCs w:val="20"/>
              </w:rPr>
              <w:t xml:space="preserve">, </w:t>
            </w:r>
            <w:r w:rsidRPr="00F72746">
              <w:rPr>
                <w:rFonts w:ascii="Montserrat" w:eastAsia="Arial Unicode MS" w:hAnsi="Montserrat" w:cs="Arial"/>
                <w:b/>
                <w:bCs/>
                <w:kern w:val="1"/>
                <w:sz w:val="20"/>
                <w:szCs w:val="20"/>
              </w:rPr>
              <w:t xml:space="preserve">per </w:t>
            </w:r>
            <w:r>
              <w:rPr>
                <w:rFonts w:ascii="Montserrat" w:eastAsia="Arial Unicode MS" w:hAnsi="Montserrat" w:cs="Arial"/>
                <w:b/>
                <w:bCs/>
                <w:kern w:val="1"/>
                <w:sz w:val="20"/>
                <w:szCs w:val="20"/>
              </w:rPr>
              <w:t>12</w:t>
            </w:r>
            <w:r w:rsidRPr="00F72746">
              <w:rPr>
                <w:rFonts w:ascii="Montserrat" w:eastAsia="Arial Unicode MS" w:hAnsi="Montserrat" w:cs="Arial"/>
                <w:b/>
                <w:bCs/>
                <w:kern w:val="1"/>
                <w:sz w:val="20"/>
                <w:szCs w:val="20"/>
              </w:rPr>
              <w:t xml:space="preserve"> </w:t>
            </w:r>
            <w:proofErr w:type="gramStart"/>
            <w:r w:rsidRPr="00F72746">
              <w:rPr>
                <w:rFonts w:ascii="Montserrat" w:eastAsia="Arial Unicode MS" w:hAnsi="Montserrat" w:cs="Arial"/>
                <w:b/>
                <w:bCs/>
                <w:kern w:val="1"/>
                <w:sz w:val="20"/>
                <w:szCs w:val="20"/>
              </w:rPr>
              <w:t>mėn.</w:t>
            </w:r>
            <w:r w:rsidR="00B47F57">
              <w:rPr>
                <w:rFonts w:ascii="Montserrat" w:eastAsia="Arial Unicode MS" w:hAnsi="Montserrat" w:cs="Arial"/>
                <w:b/>
                <w:bCs/>
                <w:kern w:val="1"/>
                <w:sz w:val="20"/>
                <w:szCs w:val="20"/>
              </w:rPr>
              <w:t>*</w:t>
            </w:r>
            <w:proofErr w:type="gramEnd"/>
          </w:p>
        </w:tc>
      </w:tr>
      <w:tr w:rsidR="00820343" w:rsidRPr="00B35F1B" w14:paraId="23D274D2" w14:textId="77777777" w:rsidTr="00CF5E50">
        <w:trPr>
          <w:trHeight w:val="288"/>
        </w:trPr>
        <w:tc>
          <w:tcPr>
            <w:tcW w:w="1044" w:type="dxa"/>
            <w:hideMark/>
          </w:tcPr>
          <w:p w14:paraId="5ADF585B" w14:textId="0215A663" w:rsidR="00820343" w:rsidRPr="00AF076B" w:rsidRDefault="00820343" w:rsidP="00366832">
            <w:pPr>
              <w:pStyle w:val="NormalWeb"/>
              <w:numPr>
                <w:ilvl w:val="1"/>
                <w:numId w:val="3"/>
              </w:numPr>
              <w:spacing w:before="0" w:beforeAutospacing="0" w:after="0" w:afterAutospacing="0"/>
              <w:jc w:val="both"/>
              <w:rPr>
                <w:rFonts w:ascii="Montserrat" w:eastAsia="Calibri" w:hAnsi="Montserrat" w:cs="Arial"/>
                <w:sz w:val="20"/>
                <w:szCs w:val="20"/>
              </w:rPr>
            </w:pPr>
          </w:p>
        </w:tc>
        <w:tc>
          <w:tcPr>
            <w:tcW w:w="3969" w:type="dxa"/>
            <w:hideMark/>
          </w:tcPr>
          <w:p w14:paraId="454D921F"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proofErr w:type="spellStart"/>
            <w:r w:rsidRPr="00AB209F">
              <w:rPr>
                <w:rFonts w:ascii="Montserrat" w:eastAsia="Arial Unicode MS" w:hAnsi="Montserrat" w:cs="Arial"/>
                <w:kern w:val="1"/>
                <w:sz w:val="20"/>
                <w:szCs w:val="20"/>
              </w:rPr>
              <w:t>Modemo</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remontas</w:t>
            </w:r>
            <w:proofErr w:type="spellEnd"/>
            <w:r w:rsidRPr="00AB209F">
              <w:rPr>
                <w:rFonts w:ascii="Montserrat" w:eastAsia="Arial Unicode MS" w:hAnsi="Montserrat" w:cs="Arial"/>
                <w:kern w:val="1"/>
                <w:sz w:val="20"/>
                <w:szCs w:val="20"/>
              </w:rPr>
              <w:t xml:space="preserve"> </w:t>
            </w:r>
          </w:p>
        </w:tc>
        <w:tc>
          <w:tcPr>
            <w:tcW w:w="4498" w:type="dxa"/>
            <w:hideMark/>
          </w:tcPr>
          <w:p w14:paraId="4BEB7ACA"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r>
              <w:rPr>
                <w:rFonts w:ascii="Montserrat" w:eastAsia="Arial Unicode MS" w:hAnsi="Montserrat" w:cs="Arial"/>
                <w:kern w:val="1"/>
                <w:sz w:val="20"/>
                <w:szCs w:val="20"/>
              </w:rPr>
              <w:t>1</w:t>
            </w:r>
          </w:p>
        </w:tc>
      </w:tr>
      <w:tr w:rsidR="00820343" w:rsidRPr="00B35F1B" w14:paraId="64790EF1" w14:textId="77777777" w:rsidTr="00CF5E50">
        <w:trPr>
          <w:trHeight w:val="288"/>
        </w:trPr>
        <w:tc>
          <w:tcPr>
            <w:tcW w:w="1044" w:type="dxa"/>
            <w:hideMark/>
          </w:tcPr>
          <w:p w14:paraId="5BD8632B" w14:textId="139CD75E" w:rsidR="00820343" w:rsidRPr="00AF076B" w:rsidRDefault="00820343" w:rsidP="00366832">
            <w:pPr>
              <w:pStyle w:val="NormalWeb"/>
              <w:numPr>
                <w:ilvl w:val="1"/>
                <w:numId w:val="3"/>
              </w:numPr>
              <w:spacing w:before="0" w:beforeAutospacing="0" w:after="0" w:afterAutospacing="0"/>
              <w:jc w:val="both"/>
              <w:rPr>
                <w:rFonts w:ascii="Montserrat" w:eastAsia="Calibri" w:hAnsi="Montserrat" w:cs="Arial"/>
                <w:sz w:val="20"/>
                <w:szCs w:val="20"/>
              </w:rPr>
            </w:pPr>
          </w:p>
        </w:tc>
        <w:tc>
          <w:tcPr>
            <w:tcW w:w="3969" w:type="dxa"/>
            <w:hideMark/>
          </w:tcPr>
          <w:p w14:paraId="17616262"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proofErr w:type="spellStart"/>
            <w:r w:rsidRPr="00AB209F">
              <w:rPr>
                <w:rFonts w:ascii="Montserrat" w:eastAsia="Arial Unicode MS" w:hAnsi="Montserrat" w:cs="Arial"/>
                <w:kern w:val="1"/>
                <w:sz w:val="20"/>
                <w:szCs w:val="20"/>
              </w:rPr>
              <w:t>Monetų</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skaitytuvo</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remontas</w:t>
            </w:r>
            <w:proofErr w:type="spellEnd"/>
          </w:p>
        </w:tc>
        <w:tc>
          <w:tcPr>
            <w:tcW w:w="4498" w:type="dxa"/>
            <w:hideMark/>
          </w:tcPr>
          <w:p w14:paraId="0E080373"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r>
              <w:rPr>
                <w:rFonts w:ascii="Montserrat" w:eastAsia="Arial Unicode MS" w:hAnsi="Montserrat" w:cs="Arial"/>
                <w:kern w:val="1"/>
                <w:sz w:val="20"/>
                <w:szCs w:val="20"/>
              </w:rPr>
              <w:t>1</w:t>
            </w:r>
          </w:p>
        </w:tc>
      </w:tr>
      <w:tr w:rsidR="00820343" w:rsidRPr="00B35F1B" w14:paraId="5A282791" w14:textId="77777777" w:rsidTr="00CF5E50">
        <w:trPr>
          <w:trHeight w:val="288"/>
        </w:trPr>
        <w:tc>
          <w:tcPr>
            <w:tcW w:w="1044" w:type="dxa"/>
            <w:hideMark/>
          </w:tcPr>
          <w:p w14:paraId="133F2E49" w14:textId="02FEFBDC" w:rsidR="00820343" w:rsidRPr="00AF076B" w:rsidRDefault="00820343" w:rsidP="00366832">
            <w:pPr>
              <w:pStyle w:val="NormalWeb"/>
              <w:numPr>
                <w:ilvl w:val="1"/>
                <w:numId w:val="3"/>
              </w:numPr>
              <w:spacing w:before="0" w:beforeAutospacing="0" w:after="0" w:afterAutospacing="0"/>
              <w:jc w:val="both"/>
              <w:rPr>
                <w:rFonts w:ascii="Montserrat" w:eastAsia="Calibri" w:hAnsi="Montserrat" w:cs="Arial"/>
                <w:sz w:val="20"/>
                <w:szCs w:val="20"/>
              </w:rPr>
            </w:pPr>
          </w:p>
        </w:tc>
        <w:tc>
          <w:tcPr>
            <w:tcW w:w="3969" w:type="dxa"/>
            <w:hideMark/>
          </w:tcPr>
          <w:p w14:paraId="79DF6E39"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proofErr w:type="spellStart"/>
            <w:r w:rsidRPr="00AB209F">
              <w:rPr>
                <w:rFonts w:ascii="Montserrat" w:eastAsia="Arial Unicode MS" w:hAnsi="Montserrat" w:cs="Arial"/>
                <w:kern w:val="1"/>
                <w:sz w:val="20"/>
                <w:szCs w:val="20"/>
              </w:rPr>
              <w:t>Pagrindinės</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plokštės</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remontas</w:t>
            </w:r>
            <w:proofErr w:type="spellEnd"/>
          </w:p>
        </w:tc>
        <w:tc>
          <w:tcPr>
            <w:tcW w:w="4498" w:type="dxa"/>
            <w:hideMark/>
          </w:tcPr>
          <w:p w14:paraId="0B947A65"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r>
              <w:rPr>
                <w:rFonts w:ascii="Montserrat" w:eastAsia="Arial Unicode MS" w:hAnsi="Montserrat" w:cs="Arial"/>
                <w:kern w:val="1"/>
                <w:sz w:val="20"/>
                <w:szCs w:val="20"/>
              </w:rPr>
              <w:t>1</w:t>
            </w:r>
          </w:p>
        </w:tc>
      </w:tr>
      <w:tr w:rsidR="00820343" w:rsidRPr="00B35F1B" w14:paraId="511FABDA" w14:textId="77777777" w:rsidTr="00CF5E50">
        <w:trPr>
          <w:trHeight w:val="288"/>
        </w:trPr>
        <w:tc>
          <w:tcPr>
            <w:tcW w:w="1044" w:type="dxa"/>
            <w:hideMark/>
          </w:tcPr>
          <w:p w14:paraId="5182CC54" w14:textId="0B10CEB6" w:rsidR="00820343" w:rsidRPr="00AF076B" w:rsidRDefault="00820343" w:rsidP="00366832">
            <w:pPr>
              <w:pStyle w:val="NormalWeb"/>
              <w:numPr>
                <w:ilvl w:val="1"/>
                <w:numId w:val="3"/>
              </w:numPr>
              <w:spacing w:before="0" w:beforeAutospacing="0" w:after="0" w:afterAutospacing="0"/>
              <w:jc w:val="both"/>
              <w:rPr>
                <w:rFonts w:ascii="Montserrat" w:eastAsia="Calibri" w:hAnsi="Montserrat" w:cs="Arial"/>
                <w:sz w:val="20"/>
                <w:szCs w:val="20"/>
              </w:rPr>
            </w:pPr>
          </w:p>
        </w:tc>
        <w:tc>
          <w:tcPr>
            <w:tcW w:w="3969" w:type="dxa"/>
            <w:hideMark/>
          </w:tcPr>
          <w:p w14:paraId="21E58683"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proofErr w:type="spellStart"/>
            <w:r w:rsidRPr="00AB209F">
              <w:rPr>
                <w:rFonts w:ascii="Montserrat" w:eastAsia="Arial Unicode MS" w:hAnsi="Montserrat" w:cs="Arial"/>
                <w:kern w:val="1"/>
                <w:sz w:val="20"/>
                <w:szCs w:val="20"/>
              </w:rPr>
              <w:t>Terminio</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spausdintuvo</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remontas</w:t>
            </w:r>
            <w:proofErr w:type="spellEnd"/>
          </w:p>
        </w:tc>
        <w:tc>
          <w:tcPr>
            <w:tcW w:w="4498" w:type="dxa"/>
            <w:hideMark/>
          </w:tcPr>
          <w:p w14:paraId="7D661AD0"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r>
              <w:rPr>
                <w:rFonts w:ascii="Montserrat" w:eastAsia="Arial Unicode MS" w:hAnsi="Montserrat" w:cs="Arial"/>
                <w:kern w:val="1"/>
                <w:sz w:val="20"/>
                <w:szCs w:val="20"/>
              </w:rPr>
              <w:t>1</w:t>
            </w:r>
          </w:p>
        </w:tc>
      </w:tr>
      <w:tr w:rsidR="00820343" w:rsidRPr="00B35F1B" w14:paraId="6F887149" w14:textId="77777777" w:rsidTr="00CF5E50">
        <w:trPr>
          <w:trHeight w:val="288"/>
        </w:trPr>
        <w:tc>
          <w:tcPr>
            <w:tcW w:w="1044" w:type="dxa"/>
            <w:hideMark/>
          </w:tcPr>
          <w:p w14:paraId="4710A1A3" w14:textId="1ED6E0E8" w:rsidR="00820343" w:rsidRPr="00AF076B" w:rsidRDefault="00820343" w:rsidP="00366832">
            <w:pPr>
              <w:pStyle w:val="NormalWeb"/>
              <w:numPr>
                <w:ilvl w:val="1"/>
                <w:numId w:val="3"/>
              </w:numPr>
              <w:spacing w:before="0" w:beforeAutospacing="0" w:after="0" w:afterAutospacing="0"/>
              <w:jc w:val="both"/>
              <w:rPr>
                <w:rFonts w:ascii="Montserrat" w:eastAsia="Calibri" w:hAnsi="Montserrat" w:cs="Arial"/>
                <w:sz w:val="20"/>
                <w:szCs w:val="20"/>
              </w:rPr>
            </w:pPr>
          </w:p>
        </w:tc>
        <w:tc>
          <w:tcPr>
            <w:tcW w:w="3969" w:type="dxa"/>
            <w:hideMark/>
          </w:tcPr>
          <w:p w14:paraId="6415C314"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proofErr w:type="spellStart"/>
            <w:r w:rsidRPr="00AB209F">
              <w:rPr>
                <w:rFonts w:ascii="Montserrat" w:eastAsia="Arial Unicode MS" w:hAnsi="Montserrat" w:cs="Arial"/>
                <w:kern w:val="1"/>
                <w:sz w:val="20"/>
                <w:szCs w:val="20"/>
              </w:rPr>
              <w:t>Grafinio</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ekrano</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remontas</w:t>
            </w:r>
            <w:proofErr w:type="spellEnd"/>
          </w:p>
        </w:tc>
        <w:tc>
          <w:tcPr>
            <w:tcW w:w="4498" w:type="dxa"/>
            <w:hideMark/>
          </w:tcPr>
          <w:p w14:paraId="31E9C071"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r>
              <w:rPr>
                <w:rFonts w:ascii="Montserrat" w:eastAsia="Arial Unicode MS" w:hAnsi="Montserrat" w:cs="Arial"/>
                <w:kern w:val="1"/>
                <w:sz w:val="20"/>
                <w:szCs w:val="20"/>
              </w:rPr>
              <w:t>1</w:t>
            </w:r>
          </w:p>
        </w:tc>
      </w:tr>
      <w:tr w:rsidR="00820343" w:rsidRPr="00B35F1B" w14:paraId="52BD357F" w14:textId="77777777" w:rsidTr="00CF5E50">
        <w:trPr>
          <w:trHeight w:val="288"/>
        </w:trPr>
        <w:tc>
          <w:tcPr>
            <w:tcW w:w="1044" w:type="dxa"/>
          </w:tcPr>
          <w:p w14:paraId="606EED3C" w14:textId="347EE503" w:rsidR="00820343" w:rsidRPr="00AF076B" w:rsidRDefault="00820343" w:rsidP="00366832">
            <w:pPr>
              <w:pStyle w:val="NormalWeb"/>
              <w:numPr>
                <w:ilvl w:val="1"/>
                <w:numId w:val="3"/>
              </w:numPr>
              <w:spacing w:before="0" w:beforeAutospacing="0" w:after="0" w:afterAutospacing="0"/>
              <w:jc w:val="both"/>
              <w:rPr>
                <w:rFonts w:ascii="Montserrat" w:eastAsia="Calibri" w:hAnsi="Montserrat" w:cs="Arial"/>
                <w:sz w:val="20"/>
                <w:szCs w:val="20"/>
              </w:rPr>
            </w:pPr>
          </w:p>
        </w:tc>
        <w:tc>
          <w:tcPr>
            <w:tcW w:w="3969" w:type="dxa"/>
          </w:tcPr>
          <w:p w14:paraId="1A901068"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proofErr w:type="spellStart"/>
            <w:r w:rsidRPr="00AB209F">
              <w:rPr>
                <w:rFonts w:ascii="Montserrat" w:eastAsia="Arial Unicode MS" w:hAnsi="Montserrat" w:cs="Arial"/>
                <w:kern w:val="1"/>
                <w:sz w:val="20"/>
                <w:szCs w:val="20"/>
              </w:rPr>
              <w:t>Bankinių</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skaitytuvų</w:t>
            </w:r>
            <w:proofErr w:type="spellEnd"/>
            <w:r w:rsidRPr="00AB209F">
              <w:rPr>
                <w:rFonts w:ascii="Montserrat" w:eastAsia="Arial Unicode MS" w:hAnsi="Montserrat" w:cs="Arial"/>
                <w:kern w:val="1"/>
                <w:sz w:val="20"/>
                <w:szCs w:val="20"/>
              </w:rPr>
              <w:t xml:space="preserve"> </w:t>
            </w:r>
            <w:proofErr w:type="spellStart"/>
            <w:r w:rsidRPr="00AB209F">
              <w:rPr>
                <w:rFonts w:ascii="Montserrat" w:eastAsia="Arial Unicode MS" w:hAnsi="Montserrat" w:cs="Arial"/>
                <w:kern w:val="1"/>
                <w:sz w:val="20"/>
                <w:szCs w:val="20"/>
              </w:rPr>
              <w:t>remontas</w:t>
            </w:r>
            <w:proofErr w:type="spellEnd"/>
          </w:p>
        </w:tc>
        <w:tc>
          <w:tcPr>
            <w:tcW w:w="4498" w:type="dxa"/>
          </w:tcPr>
          <w:p w14:paraId="23D2380E" w14:textId="77777777" w:rsidR="00820343" w:rsidRPr="00AB209F" w:rsidRDefault="00820343" w:rsidP="00820343">
            <w:pPr>
              <w:widowControl w:val="0"/>
              <w:suppressAutoHyphens/>
              <w:spacing w:after="0" w:line="240" w:lineRule="auto"/>
              <w:rPr>
                <w:rFonts w:ascii="Montserrat" w:eastAsia="Arial Unicode MS" w:hAnsi="Montserrat" w:cs="Arial"/>
                <w:kern w:val="1"/>
                <w:sz w:val="20"/>
                <w:szCs w:val="20"/>
              </w:rPr>
            </w:pPr>
            <w:r>
              <w:rPr>
                <w:rFonts w:ascii="Montserrat" w:eastAsia="Arial Unicode MS" w:hAnsi="Montserrat" w:cs="Arial"/>
                <w:kern w:val="1"/>
                <w:sz w:val="20"/>
                <w:szCs w:val="20"/>
              </w:rPr>
              <w:t>1</w:t>
            </w:r>
          </w:p>
        </w:tc>
      </w:tr>
    </w:tbl>
    <w:p w14:paraId="3FBA1CC2" w14:textId="77777777" w:rsidR="00820343" w:rsidRPr="0096512A" w:rsidRDefault="00820343" w:rsidP="00820343">
      <w:pPr>
        <w:spacing w:after="0" w:line="240" w:lineRule="auto"/>
        <w:jc w:val="both"/>
        <w:rPr>
          <w:rFonts w:ascii="Montserrat" w:eastAsia="Calibri" w:hAnsi="Montserrat" w:cs="Arial"/>
          <w:b/>
          <w:bCs/>
          <w:sz w:val="20"/>
          <w:szCs w:val="20"/>
          <w:lang w:val="lt-LT"/>
        </w:rPr>
      </w:pPr>
    </w:p>
    <w:p w14:paraId="61EE0D39" w14:textId="77777777" w:rsidR="00820343" w:rsidRPr="0096512A" w:rsidRDefault="00820343" w:rsidP="00820343">
      <w:pPr>
        <w:pStyle w:val="ListParagraph"/>
        <w:spacing w:after="0" w:line="240" w:lineRule="auto"/>
        <w:ind w:left="360"/>
        <w:jc w:val="both"/>
        <w:rPr>
          <w:rFonts w:ascii="Montserrat" w:eastAsia="Calibri" w:hAnsi="Montserrat" w:cs="Arial"/>
          <w:sz w:val="20"/>
          <w:szCs w:val="20"/>
          <w:lang w:val="lt-LT"/>
        </w:rPr>
      </w:pPr>
      <w:r w:rsidRPr="0096512A">
        <w:rPr>
          <w:rFonts w:ascii="Montserrat" w:eastAsia="Calibri" w:hAnsi="Montserrat" w:cs="Arial"/>
          <w:sz w:val="20"/>
          <w:szCs w:val="20"/>
          <w:lang w:val="lt-LT"/>
        </w:rPr>
        <w:t>*</w:t>
      </w:r>
      <w:r w:rsidRPr="0096512A">
        <w:rPr>
          <w:rFonts w:ascii="Montserrat" w:hAnsi="Montserrat" w:cs="Arial"/>
          <w:sz w:val="20"/>
          <w:szCs w:val="20"/>
          <w:lang w:val="lt-LT"/>
        </w:rPr>
        <w:t xml:space="preserve"> </w:t>
      </w:r>
      <w:r>
        <w:rPr>
          <w:rFonts w:ascii="Montserrat" w:eastAsia="Calibri" w:hAnsi="Montserrat" w:cs="Arial"/>
          <w:sz w:val="20"/>
          <w:szCs w:val="20"/>
          <w:lang w:val="lt-LT"/>
        </w:rPr>
        <w:t>Perkama</w:t>
      </w:r>
      <w:r w:rsidRPr="0096512A">
        <w:rPr>
          <w:rFonts w:ascii="Montserrat" w:eastAsia="Calibri" w:hAnsi="Montserrat" w:cs="Arial"/>
          <w:sz w:val="20"/>
          <w:szCs w:val="20"/>
          <w:lang w:val="lt-LT"/>
        </w:rPr>
        <w:t xml:space="preserve"> pagal </w:t>
      </w:r>
      <w:r>
        <w:rPr>
          <w:rFonts w:ascii="Montserrat" w:eastAsia="Calibri" w:hAnsi="Montserrat" w:cs="Arial"/>
          <w:sz w:val="20"/>
          <w:szCs w:val="20"/>
          <w:lang w:val="lt-LT"/>
        </w:rPr>
        <w:t xml:space="preserve">Užsakovo </w:t>
      </w:r>
      <w:r w:rsidRPr="0096512A">
        <w:rPr>
          <w:rFonts w:ascii="Montserrat" w:eastAsia="Calibri" w:hAnsi="Montserrat" w:cs="Arial"/>
          <w:sz w:val="20"/>
          <w:szCs w:val="20"/>
          <w:lang w:val="lt-LT"/>
        </w:rPr>
        <w:t xml:space="preserve">poreikį. </w:t>
      </w:r>
      <w:r w:rsidRPr="0096512A">
        <w:rPr>
          <w:rFonts w:ascii="Montserrat" w:hAnsi="Montserrat" w:cs="Arial"/>
          <w:sz w:val="20"/>
          <w:szCs w:val="20"/>
          <w:lang w:val="lt-LT"/>
        </w:rPr>
        <w:t>Užsakovas</w:t>
      </w:r>
      <w:r w:rsidRPr="0096512A">
        <w:rPr>
          <w:rFonts w:ascii="Montserrat" w:eastAsia="Calibri" w:hAnsi="Montserrat" w:cs="Arial"/>
          <w:sz w:val="20"/>
          <w:szCs w:val="20"/>
          <w:lang w:val="lt-LT"/>
        </w:rPr>
        <w:t xml:space="preserve"> neįsipareigoja nupirkti viso </w:t>
      </w:r>
      <w:r>
        <w:rPr>
          <w:rFonts w:ascii="Montserrat" w:eastAsia="Calibri" w:hAnsi="Montserrat" w:cs="Arial"/>
          <w:sz w:val="20"/>
          <w:szCs w:val="20"/>
          <w:lang w:val="lt-LT"/>
        </w:rPr>
        <w:t>nurodyto preliminaraus</w:t>
      </w:r>
      <w:r w:rsidRPr="0096512A">
        <w:rPr>
          <w:rFonts w:ascii="Montserrat" w:eastAsia="Calibri" w:hAnsi="Montserrat" w:cs="Arial"/>
          <w:sz w:val="20"/>
          <w:szCs w:val="20"/>
          <w:lang w:val="lt-LT"/>
        </w:rPr>
        <w:t xml:space="preserve"> kiekio. </w:t>
      </w:r>
    </w:p>
    <w:p w14:paraId="047E403E" w14:textId="77777777" w:rsidR="00820343" w:rsidRPr="0096512A" w:rsidRDefault="00820343" w:rsidP="00820343">
      <w:pPr>
        <w:pStyle w:val="ListParagraph"/>
        <w:spacing w:after="0" w:line="240" w:lineRule="auto"/>
        <w:ind w:left="360"/>
        <w:jc w:val="both"/>
        <w:rPr>
          <w:rFonts w:ascii="Montserrat" w:eastAsia="Calibri" w:hAnsi="Montserrat" w:cs="Arial"/>
          <w:sz w:val="20"/>
          <w:szCs w:val="20"/>
          <w:lang w:val="lt-LT"/>
        </w:rPr>
      </w:pPr>
    </w:p>
    <w:p w14:paraId="7A7339A6" w14:textId="77777777" w:rsidR="00820343" w:rsidRPr="00820343" w:rsidRDefault="00820343" w:rsidP="00AF076B">
      <w:pPr>
        <w:pStyle w:val="NormalWeb"/>
        <w:numPr>
          <w:ilvl w:val="0"/>
          <w:numId w:val="3"/>
        </w:numPr>
        <w:spacing w:before="0" w:beforeAutospacing="0" w:after="0" w:afterAutospacing="0"/>
        <w:ind w:left="426"/>
        <w:jc w:val="both"/>
        <w:rPr>
          <w:rFonts w:ascii="Montserrat" w:eastAsia="Calibri" w:hAnsi="Montserrat" w:cs="Arial"/>
          <w:sz w:val="20"/>
          <w:szCs w:val="20"/>
        </w:rPr>
      </w:pPr>
      <w:r w:rsidRPr="00820343">
        <w:rPr>
          <w:rFonts w:ascii="Montserrat" w:eastAsia="Calibri" w:hAnsi="Montserrat" w:cs="Arial"/>
          <w:sz w:val="20"/>
          <w:szCs w:val="20"/>
        </w:rPr>
        <w:t>Tiekėjas neveikiančios, remontuojamos detalės remonto metu privalo Užsakovui pateikti pakaitinę detalę, kuri bus naudojama bilietų automate iki kol bus atliktas sugedusios detalės remontas. Tiekėjas gali neteikti Užsakovui pakaitinių detalių tuo atveju, kai neveikiančių detalių remontas atliekamas ne ilgiau kaip per 30 kalendorinių dienų nuo užsakymo pateikimo dienos.</w:t>
      </w:r>
    </w:p>
    <w:p w14:paraId="31779F2D" w14:textId="77777777" w:rsidR="00820343" w:rsidRPr="00820343" w:rsidRDefault="00820343" w:rsidP="00AF076B">
      <w:pPr>
        <w:pStyle w:val="NormalWeb"/>
        <w:numPr>
          <w:ilvl w:val="0"/>
          <w:numId w:val="3"/>
        </w:numPr>
        <w:spacing w:before="0" w:beforeAutospacing="0" w:after="0" w:afterAutospacing="0"/>
        <w:ind w:left="426"/>
        <w:jc w:val="both"/>
        <w:rPr>
          <w:rFonts w:ascii="Montserrat" w:eastAsia="Calibri" w:hAnsi="Montserrat" w:cs="Arial"/>
          <w:sz w:val="20"/>
          <w:szCs w:val="20"/>
        </w:rPr>
      </w:pPr>
      <w:r w:rsidRPr="00820343">
        <w:rPr>
          <w:rFonts w:ascii="Montserrat" w:eastAsia="Calibri" w:hAnsi="Montserrat" w:cs="Arial"/>
          <w:sz w:val="20"/>
          <w:szCs w:val="20"/>
        </w:rPr>
        <w:t xml:space="preserve">Suremontuotoms detalėms taikoma ne mažesnė nei 3 mėn. garantija. </w:t>
      </w:r>
    </w:p>
    <w:p w14:paraId="55223D37" w14:textId="77777777" w:rsidR="00820343" w:rsidRPr="00820343" w:rsidRDefault="00820343" w:rsidP="00AF076B">
      <w:pPr>
        <w:pStyle w:val="NormalWeb"/>
        <w:numPr>
          <w:ilvl w:val="0"/>
          <w:numId w:val="3"/>
        </w:numPr>
        <w:spacing w:before="0" w:beforeAutospacing="0" w:after="0" w:afterAutospacing="0"/>
        <w:ind w:left="426"/>
        <w:jc w:val="both"/>
        <w:rPr>
          <w:rFonts w:ascii="Montserrat" w:eastAsia="Calibri" w:hAnsi="Montserrat" w:cs="Arial"/>
          <w:sz w:val="20"/>
          <w:szCs w:val="20"/>
        </w:rPr>
      </w:pPr>
      <w:r w:rsidRPr="00820343">
        <w:rPr>
          <w:rFonts w:ascii="Montserrat" w:eastAsia="Calibri" w:hAnsi="Montserrat" w:cs="Arial"/>
          <w:sz w:val="20"/>
          <w:szCs w:val="20"/>
        </w:rPr>
        <w:t xml:space="preserve">Suremontuotos Bilietų automato detalės turi būti tinkamos naudoti pagal paskirtį. </w:t>
      </w:r>
    </w:p>
    <w:p w14:paraId="1D9345D8" w14:textId="77777777" w:rsidR="00820343" w:rsidRPr="00820343" w:rsidRDefault="00820343" w:rsidP="00AF076B">
      <w:pPr>
        <w:pStyle w:val="NormalWeb"/>
        <w:numPr>
          <w:ilvl w:val="0"/>
          <w:numId w:val="3"/>
        </w:numPr>
        <w:spacing w:before="0" w:beforeAutospacing="0" w:after="0" w:afterAutospacing="0"/>
        <w:ind w:left="426"/>
        <w:jc w:val="both"/>
        <w:rPr>
          <w:rFonts w:ascii="Montserrat" w:eastAsia="Calibri" w:hAnsi="Montserrat" w:cs="Arial"/>
          <w:sz w:val="20"/>
          <w:szCs w:val="20"/>
        </w:rPr>
      </w:pPr>
      <w:r w:rsidRPr="00820343">
        <w:rPr>
          <w:rFonts w:ascii="Montserrat" w:eastAsia="Calibri" w:hAnsi="Montserrat" w:cs="Arial"/>
          <w:sz w:val="20"/>
          <w:szCs w:val="20"/>
        </w:rPr>
        <w:t>Bilietų automato suremontuotų detalių tinkamumas naudoti pagal paskirtį reiškia, kad:</w:t>
      </w:r>
    </w:p>
    <w:p w14:paraId="35EB214C" w14:textId="77777777" w:rsidR="00820343" w:rsidRPr="00820343" w:rsidRDefault="00820343" w:rsidP="00E758A6">
      <w:pPr>
        <w:pStyle w:val="NormalWeb"/>
        <w:numPr>
          <w:ilvl w:val="1"/>
          <w:numId w:val="3"/>
        </w:numPr>
        <w:spacing w:before="0" w:beforeAutospacing="0" w:after="0" w:afterAutospacing="0"/>
        <w:jc w:val="both"/>
        <w:rPr>
          <w:rFonts w:ascii="Montserrat" w:eastAsia="Calibri" w:hAnsi="Montserrat" w:cs="Arial"/>
          <w:sz w:val="20"/>
          <w:szCs w:val="20"/>
        </w:rPr>
      </w:pPr>
      <w:r w:rsidRPr="00820343">
        <w:rPr>
          <w:rFonts w:ascii="Montserrat" w:eastAsia="Calibri" w:hAnsi="Montserrat" w:cs="Arial"/>
          <w:sz w:val="20"/>
          <w:szCs w:val="20"/>
        </w:rPr>
        <w:t>jos turi būti veikiančios ir tinkamos naudoti Užsakovo eksploatuojamuose bilietų automatuose;</w:t>
      </w:r>
    </w:p>
    <w:p w14:paraId="1869326F" w14:textId="77777777" w:rsidR="00820343" w:rsidRPr="00820343" w:rsidRDefault="00820343" w:rsidP="00E758A6">
      <w:pPr>
        <w:pStyle w:val="NormalWeb"/>
        <w:numPr>
          <w:ilvl w:val="1"/>
          <w:numId w:val="3"/>
        </w:numPr>
        <w:spacing w:before="0" w:beforeAutospacing="0" w:after="0" w:afterAutospacing="0"/>
        <w:jc w:val="both"/>
        <w:rPr>
          <w:rFonts w:ascii="Montserrat" w:eastAsia="Calibri" w:hAnsi="Montserrat" w:cs="Arial"/>
          <w:sz w:val="20"/>
          <w:szCs w:val="20"/>
        </w:rPr>
      </w:pPr>
      <w:r w:rsidRPr="00820343">
        <w:rPr>
          <w:rFonts w:ascii="Montserrat" w:eastAsia="Calibri" w:hAnsi="Montserrat" w:cs="Arial"/>
          <w:sz w:val="20"/>
          <w:szCs w:val="20"/>
        </w:rPr>
        <w:t>suremontuotas detales įdiegus į Užsakovo eksploatuojamą bilietų automatą nereikia keisti (modifikuoti) kitų automato dalių ir atlikti programinių atnaujinimų, kad bilietų automatas veiktų ir atliktų visas funkcijas (rinktų rinkliavą, išduotų bilietus ir t.t.).</w:t>
      </w:r>
    </w:p>
    <w:p w14:paraId="41AAB258" w14:textId="77777777" w:rsidR="00D27956" w:rsidRPr="00A45BFB" w:rsidRDefault="00D27956" w:rsidP="00820343">
      <w:pPr>
        <w:pStyle w:val="ListParagraph"/>
        <w:tabs>
          <w:tab w:val="left" w:pos="851"/>
        </w:tabs>
        <w:spacing w:after="0" w:line="240" w:lineRule="auto"/>
        <w:ind w:left="502"/>
        <w:jc w:val="center"/>
        <w:rPr>
          <w:rFonts w:ascii="Montserrat" w:eastAsia="Calibri" w:hAnsi="Montserrat" w:cs="Arial"/>
          <w:sz w:val="20"/>
          <w:szCs w:val="20"/>
          <w:lang w:val="lt-LT"/>
        </w:rPr>
      </w:pPr>
      <w:r>
        <w:rPr>
          <w:rFonts w:ascii="Montserrat" w:eastAsia="Calibri" w:hAnsi="Montserrat" w:cs="Arial"/>
          <w:sz w:val="20"/>
          <w:szCs w:val="20"/>
          <w:lang w:val="lt-LT"/>
        </w:rPr>
        <w:t>___________</w:t>
      </w:r>
    </w:p>
    <w:p w14:paraId="134FC4AE" w14:textId="77777777" w:rsidR="008C6A05" w:rsidRDefault="008C6A05" w:rsidP="00820343"/>
    <w:sectPr w:rsidR="008C6A05" w:rsidSect="00E4582C">
      <w:headerReference w:type="default" r:id="rId10"/>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DFA6" w14:textId="77777777" w:rsidR="00335D15" w:rsidRDefault="00335D15">
      <w:pPr>
        <w:spacing w:after="0" w:line="240" w:lineRule="auto"/>
      </w:pPr>
      <w:r>
        <w:separator/>
      </w:r>
    </w:p>
  </w:endnote>
  <w:endnote w:type="continuationSeparator" w:id="0">
    <w:p w14:paraId="78147A6B" w14:textId="77777777" w:rsidR="00335D15" w:rsidRDefault="0033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BA"/>
    <w:family w:val="auto"/>
    <w:pitch w:val="variable"/>
    <w:sig w:usb0="A00002FF" w:usb1="4000247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069B" w14:textId="77777777" w:rsidR="00335D15" w:rsidRDefault="00335D15">
      <w:pPr>
        <w:spacing w:after="0" w:line="240" w:lineRule="auto"/>
      </w:pPr>
      <w:r>
        <w:separator/>
      </w:r>
    </w:p>
  </w:footnote>
  <w:footnote w:type="continuationSeparator" w:id="0">
    <w:p w14:paraId="4639A1BF" w14:textId="77777777" w:rsidR="00335D15" w:rsidRDefault="00335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425696"/>
      <w:docPartObj>
        <w:docPartGallery w:val="Page Numbers (Top of Page)"/>
        <w:docPartUnique/>
      </w:docPartObj>
    </w:sdtPr>
    <w:sdtEndPr>
      <w:rPr>
        <w:rFonts w:ascii="Arial" w:hAnsi="Arial" w:cs="Arial"/>
        <w:noProof/>
        <w:sz w:val="20"/>
        <w:szCs w:val="20"/>
      </w:rPr>
    </w:sdtEndPr>
    <w:sdtContent>
      <w:p w14:paraId="4C88BA8D" w14:textId="77777777" w:rsidR="000450C0" w:rsidRPr="00C60366" w:rsidRDefault="00D27956">
        <w:pPr>
          <w:pStyle w:val="Header"/>
          <w:jc w:val="center"/>
          <w:rPr>
            <w:rFonts w:ascii="Arial" w:hAnsi="Arial" w:cs="Arial"/>
            <w:sz w:val="20"/>
            <w:szCs w:val="20"/>
          </w:rPr>
        </w:pPr>
        <w:r w:rsidRPr="00AB649C">
          <w:rPr>
            <w:rFonts w:cstheme="minorHAnsi"/>
            <w:sz w:val="20"/>
            <w:szCs w:val="20"/>
          </w:rPr>
          <w:fldChar w:fldCharType="begin"/>
        </w:r>
        <w:r w:rsidRPr="00AB649C">
          <w:rPr>
            <w:rFonts w:cstheme="minorHAnsi"/>
            <w:sz w:val="20"/>
            <w:szCs w:val="20"/>
          </w:rPr>
          <w:instrText xml:space="preserve"> PAGE   \* MERGEFORMAT </w:instrText>
        </w:r>
        <w:r w:rsidRPr="00AB649C">
          <w:rPr>
            <w:rFonts w:cstheme="minorHAnsi"/>
            <w:sz w:val="20"/>
            <w:szCs w:val="20"/>
          </w:rPr>
          <w:fldChar w:fldCharType="separate"/>
        </w:r>
        <w:r w:rsidRPr="00AB649C">
          <w:rPr>
            <w:rFonts w:cstheme="minorHAnsi"/>
            <w:noProof/>
            <w:sz w:val="20"/>
            <w:szCs w:val="20"/>
          </w:rPr>
          <w:t>9</w:t>
        </w:r>
        <w:r w:rsidRPr="00AB649C">
          <w:rPr>
            <w:rFonts w:cstheme="minorHAnsi"/>
            <w:noProof/>
            <w:sz w:val="20"/>
            <w:szCs w:val="20"/>
          </w:rPr>
          <w:fldChar w:fldCharType="end"/>
        </w:r>
      </w:p>
    </w:sdtContent>
  </w:sdt>
  <w:p w14:paraId="3469923C" w14:textId="77777777" w:rsidR="000450C0" w:rsidRDefault="00045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0AD9"/>
    <w:multiLevelType w:val="multilevel"/>
    <w:tmpl w:val="58DAFE56"/>
    <w:lvl w:ilvl="0">
      <w:start w:val="1"/>
      <w:numFmt w:val="decimal"/>
      <w:lvlText w:val="%1."/>
      <w:lvlJc w:val="left"/>
      <w:pPr>
        <w:ind w:left="720" w:hanging="360"/>
      </w:pPr>
      <w:rPr>
        <w:rFonts w:hint="default"/>
        <w:b w:val="0"/>
        <w:bCs/>
        <w:color w:val="auto"/>
      </w:rPr>
    </w:lvl>
    <w:lvl w:ilvl="1">
      <w:start w:val="1"/>
      <w:numFmt w:val="decimal"/>
      <w:lvlText w:val="%1.%2."/>
      <w:lvlJc w:val="left"/>
      <w:pPr>
        <w:ind w:left="720" w:hanging="360"/>
      </w:pPr>
      <w:rPr>
        <w:b w:val="0"/>
        <w:bCs w:val="0"/>
        <w:i w:val="0"/>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AE953F8"/>
    <w:multiLevelType w:val="multilevel"/>
    <w:tmpl w:val="74B6F708"/>
    <w:lvl w:ilvl="0">
      <w:start w:val="1"/>
      <w:numFmt w:val="decimal"/>
      <w:lvlText w:val="%1."/>
      <w:lvlJc w:val="left"/>
      <w:pPr>
        <w:ind w:left="0" w:firstLine="567"/>
      </w:pPr>
      <w:rPr>
        <w:rFonts w:hint="default"/>
        <w:color w:val="auto"/>
      </w:rPr>
    </w:lvl>
    <w:lvl w:ilvl="1">
      <w:start w:val="1"/>
      <w:numFmt w:val="decimal"/>
      <w:lvlText w:val="%1.%2."/>
      <w:lvlJc w:val="left"/>
      <w:pPr>
        <w:ind w:left="0" w:firstLine="567"/>
      </w:pPr>
      <w:rPr>
        <w:rFonts w:hint="default"/>
      </w:rPr>
    </w:lvl>
    <w:lvl w:ilvl="2">
      <w:start w:val="1"/>
      <w:numFmt w:val="decimal"/>
      <w:lvlRestart w:val="0"/>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2" w15:restartNumberingAfterBreak="0">
    <w:nsid w:val="79EA6A7B"/>
    <w:multiLevelType w:val="multilevel"/>
    <w:tmpl w:val="93F6E04C"/>
    <w:lvl w:ilvl="0">
      <w:start w:val="1"/>
      <w:numFmt w:val="upperRoman"/>
      <w:lvlText w:val="%1."/>
      <w:lvlJc w:val="left"/>
      <w:pPr>
        <w:ind w:left="360" w:hanging="360"/>
      </w:pPr>
      <w:rPr>
        <w:rFonts w:ascii="Montserrat" w:eastAsia="Lucida Sans Unicode" w:hAnsi="Montserrat" w:cs="Arial"/>
        <w:b/>
        <w:bCs/>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7F68E8"/>
    <w:multiLevelType w:val="hybridMultilevel"/>
    <w:tmpl w:val="80407DF0"/>
    <w:lvl w:ilvl="0" w:tplc="ADB4816A">
      <w:start w:val="1"/>
      <w:numFmt w:val="decimal"/>
      <w:lvlText w:val="%1."/>
      <w:lvlJc w:val="left"/>
      <w:pPr>
        <w:ind w:left="786" w:hanging="360"/>
      </w:pPr>
      <w:rPr>
        <w:rFonts w:hint="default"/>
        <w:b w:val="0"/>
        <w:bCs w:val="0"/>
      </w:rPr>
    </w:lvl>
    <w:lvl w:ilvl="1" w:tplc="04270019">
      <w:start w:val="1"/>
      <w:numFmt w:val="lowerLetter"/>
      <w:lvlText w:val="%2."/>
      <w:lvlJc w:val="left"/>
      <w:pPr>
        <w:ind w:left="1647" w:hanging="360"/>
      </w:pPr>
    </w:lvl>
    <w:lvl w:ilvl="2" w:tplc="04270011">
      <w:start w:val="1"/>
      <w:numFmt w:val="decimal"/>
      <w:lvlText w:val="%3)"/>
      <w:lvlJc w:val="left"/>
      <w:pPr>
        <w:ind w:left="502" w:hanging="36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34878002">
    <w:abstractNumId w:val="2"/>
  </w:num>
  <w:num w:numId="2" w16cid:durableId="1436244762">
    <w:abstractNumId w:val="3"/>
  </w:num>
  <w:num w:numId="3" w16cid:durableId="2122993899">
    <w:abstractNumId w:val="0"/>
  </w:num>
  <w:num w:numId="4" w16cid:durableId="116897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56"/>
    <w:rsid w:val="00037424"/>
    <w:rsid w:val="000450C0"/>
    <w:rsid w:val="000C0662"/>
    <w:rsid w:val="000C271B"/>
    <w:rsid w:val="000D4D4E"/>
    <w:rsid w:val="000E0BF3"/>
    <w:rsid w:val="000E49E4"/>
    <w:rsid w:val="001143ED"/>
    <w:rsid w:val="001534E5"/>
    <w:rsid w:val="001776ED"/>
    <w:rsid w:val="001C4AFF"/>
    <w:rsid w:val="001E1425"/>
    <w:rsid w:val="001F0ED4"/>
    <w:rsid w:val="002C7FDD"/>
    <w:rsid w:val="002F096E"/>
    <w:rsid w:val="00333B50"/>
    <w:rsid w:val="00335D15"/>
    <w:rsid w:val="00351CBD"/>
    <w:rsid w:val="00366832"/>
    <w:rsid w:val="0038181C"/>
    <w:rsid w:val="00430C6F"/>
    <w:rsid w:val="00484F38"/>
    <w:rsid w:val="00493E37"/>
    <w:rsid w:val="005330FD"/>
    <w:rsid w:val="00534804"/>
    <w:rsid w:val="005569AF"/>
    <w:rsid w:val="00652336"/>
    <w:rsid w:val="006F4E46"/>
    <w:rsid w:val="00727164"/>
    <w:rsid w:val="00792EC4"/>
    <w:rsid w:val="00820343"/>
    <w:rsid w:val="008C6A05"/>
    <w:rsid w:val="008C6A30"/>
    <w:rsid w:val="00915E43"/>
    <w:rsid w:val="009E0DB9"/>
    <w:rsid w:val="00A60F4D"/>
    <w:rsid w:val="00A90886"/>
    <w:rsid w:val="00A90D0C"/>
    <w:rsid w:val="00AB0DF9"/>
    <w:rsid w:val="00AD7221"/>
    <w:rsid w:val="00AF076B"/>
    <w:rsid w:val="00AF6B41"/>
    <w:rsid w:val="00B11CB4"/>
    <w:rsid w:val="00B47F57"/>
    <w:rsid w:val="00BB6089"/>
    <w:rsid w:val="00BC472A"/>
    <w:rsid w:val="00BD4D36"/>
    <w:rsid w:val="00BF446A"/>
    <w:rsid w:val="00C20C21"/>
    <w:rsid w:val="00C67886"/>
    <w:rsid w:val="00C7136D"/>
    <w:rsid w:val="00C87E3D"/>
    <w:rsid w:val="00CE17E0"/>
    <w:rsid w:val="00CF5E50"/>
    <w:rsid w:val="00D27956"/>
    <w:rsid w:val="00D64883"/>
    <w:rsid w:val="00D7068A"/>
    <w:rsid w:val="00DA23E0"/>
    <w:rsid w:val="00DD741E"/>
    <w:rsid w:val="00E04758"/>
    <w:rsid w:val="00E21696"/>
    <w:rsid w:val="00E57CFE"/>
    <w:rsid w:val="00E758A6"/>
    <w:rsid w:val="00EE3C43"/>
    <w:rsid w:val="00F316D3"/>
    <w:rsid w:val="00F51FCC"/>
    <w:rsid w:val="00F5442D"/>
    <w:rsid w:val="00FC2C4A"/>
    <w:rsid w:val="00FD5489"/>
    <w:rsid w:val="00FE51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367A"/>
  <w15:chartTrackingRefBased/>
  <w15:docId w15:val="{03D387A6-F3EF-442E-9AEF-D670DF25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956"/>
    <w:rPr>
      <w:lang w:val="en-US"/>
    </w:rPr>
  </w:style>
  <w:style w:type="paragraph" w:styleId="ListParagraph">
    <w:name w:val="List Paragraph"/>
    <w:aliases w:val="ERP-List Paragraph,List Paragraph11,Bullet EY,List Paragraph1,Numbering,List Paragraph2,List Paragraph21,Lentele,Paragraph,List Paragraph Red,VARNELES,List not in Table,lp1,Bullet 1,Use Case List Paragraph,Sąrašo pastraipa.Bullet,Bullet"/>
    <w:basedOn w:val="Normal"/>
    <w:link w:val="ListParagraphChar"/>
    <w:uiPriority w:val="34"/>
    <w:qFormat/>
    <w:rsid w:val="00D27956"/>
    <w:pPr>
      <w:ind w:left="720"/>
      <w:contextualSpacing/>
    </w:pPr>
  </w:style>
  <w:style w:type="character" w:customStyle="1" w:styleId="ListParagraphChar">
    <w:name w:val="List Paragraph Char"/>
    <w:aliases w:val="ERP-List Paragraph Char,List Paragraph11 Char,Bullet EY Char,List Paragraph1 Char,Numbering Char,List Paragraph2 Char,List Paragraph21 Char,Lentele Char,Paragraph Char,List Paragraph Red Char,VARNELES Char,List not in Table Char"/>
    <w:basedOn w:val="DefaultParagraphFont"/>
    <w:link w:val="ListParagraph"/>
    <w:uiPriority w:val="34"/>
    <w:qFormat/>
    <w:locked/>
    <w:rsid w:val="00D27956"/>
    <w:rPr>
      <w:lang w:val="en-US"/>
    </w:rPr>
  </w:style>
  <w:style w:type="character" w:customStyle="1" w:styleId="Bodytext">
    <w:name w:val="Body text_"/>
    <w:link w:val="Pagrindinistekstas3"/>
    <w:rsid w:val="00D27956"/>
    <w:rPr>
      <w:sz w:val="21"/>
      <w:szCs w:val="21"/>
      <w:shd w:val="clear" w:color="auto" w:fill="FFFFFF"/>
    </w:rPr>
  </w:style>
  <w:style w:type="paragraph" w:customStyle="1" w:styleId="Pagrindinistekstas3">
    <w:name w:val="Pagrindinis tekstas3"/>
    <w:basedOn w:val="Normal"/>
    <w:link w:val="Bodytext"/>
    <w:rsid w:val="00D27956"/>
    <w:pPr>
      <w:widowControl w:val="0"/>
      <w:shd w:val="clear" w:color="auto" w:fill="FFFFFF"/>
      <w:spacing w:after="300" w:line="610" w:lineRule="exact"/>
      <w:jc w:val="both"/>
    </w:pPr>
    <w:rPr>
      <w:sz w:val="21"/>
      <w:szCs w:val="21"/>
      <w:lang w:val="lt-LT"/>
    </w:rPr>
  </w:style>
  <w:style w:type="paragraph" w:styleId="NormalWeb">
    <w:name w:val="Normal (Web)"/>
    <w:basedOn w:val="Normal"/>
    <w:uiPriority w:val="99"/>
    <w:unhideWhenUsed/>
    <w:rsid w:val="00BC472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5569AF"/>
    <w:pPr>
      <w:spacing w:after="0" w:line="240" w:lineRule="auto"/>
    </w:pPr>
    <w:rPr>
      <w:lang w:val="en-US"/>
    </w:rPr>
  </w:style>
  <w:style w:type="character" w:styleId="CommentReference">
    <w:name w:val="annotation reference"/>
    <w:basedOn w:val="DefaultParagraphFont"/>
    <w:uiPriority w:val="99"/>
    <w:semiHidden/>
    <w:unhideWhenUsed/>
    <w:rsid w:val="00333B50"/>
    <w:rPr>
      <w:sz w:val="16"/>
      <w:szCs w:val="16"/>
    </w:rPr>
  </w:style>
  <w:style w:type="paragraph" w:styleId="CommentText">
    <w:name w:val="annotation text"/>
    <w:basedOn w:val="Normal"/>
    <w:link w:val="CommentTextChar"/>
    <w:uiPriority w:val="99"/>
    <w:unhideWhenUsed/>
    <w:rsid w:val="00333B50"/>
    <w:pPr>
      <w:spacing w:line="240" w:lineRule="auto"/>
    </w:pPr>
    <w:rPr>
      <w:sz w:val="20"/>
      <w:szCs w:val="20"/>
    </w:rPr>
  </w:style>
  <w:style w:type="character" w:customStyle="1" w:styleId="CommentTextChar">
    <w:name w:val="Comment Text Char"/>
    <w:basedOn w:val="DefaultParagraphFont"/>
    <w:link w:val="CommentText"/>
    <w:uiPriority w:val="99"/>
    <w:rsid w:val="00333B50"/>
    <w:rPr>
      <w:sz w:val="20"/>
      <w:szCs w:val="20"/>
      <w:lang w:val="en-US"/>
    </w:rPr>
  </w:style>
  <w:style w:type="paragraph" w:styleId="CommentSubject">
    <w:name w:val="annotation subject"/>
    <w:basedOn w:val="CommentText"/>
    <w:next w:val="CommentText"/>
    <w:link w:val="CommentSubjectChar"/>
    <w:uiPriority w:val="99"/>
    <w:semiHidden/>
    <w:unhideWhenUsed/>
    <w:rsid w:val="00333B50"/>
    <w:rPr>
      <w:b/>
      <w:bCs/>
    </w:rPr>
  </w:style>
  <w:style w:type="character" w:customStyle="1" w:styleId="CommentSubjectChar">
    <w:name w:val="Comment Subject Char"/>
    <w:basedOn w:val="CommentTextChar"/>
    <w:link w:val="CommentSubject"/>
    <w:uiPriority w:val="99"/>
    <w:semiHidden/>
    <w:rsid w:val="00333B5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5183daa4188adf8b44db176274083809">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3263d1f479fe9c1932f461ade5f95e1"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CAE3D1E8-6063-47D8-BEFE-EA801123BD25}">
  <ds:schemaRefs>
    <ds:schemaRef ds:uri="http://schemas.microsoft.com/sharepoint/v3/contenttype/forms"/>
  </ds:schemaRefs>
</ds:datastoreItem>
</file>

<file path=customXml/itemProps2.xml><?xml version="1.0" encoding="utf-8"?>
<ds:datastoreItem xmlns:ds="http://schemas.openxmlformats.org/officeDocument/2006/customXml" ds:itemID="{56DA5137-F8C8-4C27-A7DA-73CC435176B7}"/>
</file>

<file path=customXml/itemProps3.xml><?xml version="1.0" encoding="utf-8"?>
<ds:datastoreItem xmlns:ds="http://schemas.openxmlformats.org/officeDocument/2006/customXml" ds:itemID="{2303EDB0-D1F7-49A8-B155-B6D1B668D5C4}">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Vaidotas Vaitkevičius</cp:lastModifiedBy>
  <cp:revision>55</cp:revision>
  <dcterms:created xsi:type="dcterms:W3CDTF">2023-04-13T12:17:00Z</dcterms:created>
  <dcterms:modified xsi:type="dcterms:W3CDTF">2025-09-29T05:53:00Z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