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57B" w:rsidRDefault="0072157B" w:rsidP="0072157B">
      <w:pPr>
        <w:pStyle w:val="Numatytasis"/>
        <w:jc w:val="center"/>
      </w:pPr>
      <w:r>
        <w:rPr>
          <w:b/>
          <w:color w:val="auto"/>
        </w:rPr>
        <w:t>10. PIRKIMO DALIS –</w:t>
      </w:r>
      <w:r>
        <w:rPr>
          <w:b/>
          <w:lang w:val="pt-BR"/>
        </w:rPr>
        <w:t xml:space="preserve"> IMUNOFERMENTINIŲ TYRIMŲ ANALIZATORIAUS </w:t>
      </w:r>
      <w:r>
        <w:rPr>
          <w:b/>
          <w:color w:val="auto"/>
        </w:rPr>
        <w:t>(1 VNT.) NUOMA (PANAUDA) IR REAGENTAI BEI PAPILDOMOS PRIEMONĖS DARBUI SU JUO</w:t>
      </w:r>
    </w:p>
    <w:p w:rsidR="0072157B" w:rsidRDefault="0072157B" w:rsidP="0072157B">
      <w:pPr>
        <w:jc w:val="center"/>
        <w:rPr>
          <w:rFonts w:ascii="Times New Roman" w:hAnsi="Times New Roman" w:cs="Times New Roman"/>
          <w:sz w:val="24"/>
          <w:szCs w:val="24"/>
          <w:lang w:val="lt-LT"/>
        </w:rPr>
      </w:pPr>
    </w:p>
    <w:p w:rsidR="0072157B" w:rsidRDefault="0072157B" w:rsidP="0072157B">
      <w:pPr>
        <w:jc w:val="center"/>
      </w:pPr>
      <w:r>
        <w:rPr>
          <w:rFonts w:ascii="Times New Roman" w:hAnsi="Times New Roman" w:cs="Times New Roman"/>
          <w:b/>
          <w:sz w:val="24"/>
          <w:szCs w:val="24"/>
          <w:lang w:val="pt-BR"/>
        </w:rPr>
        <w:t>10. Automatinio imunofermentinių tyrimų analizatoriaus nuomai (panaudai) techninė specifikacija (1 vnt.)</w:t>
      </w:r>
    </w:p>
    <w:p w:rsidR="0072157B" w:rsidRDefault="0072157B" w:rsidP="0072157B">
      <w:pPr>
        <w:suppressAutoHyphens w:val="0"/>
        <w:jc w:val="center"/>
      </w:pPr>
      <w:r>
        <w:rPr>
          <w:rFonts w:ascii="Times New Roman" w:hAnsi="Times New Roman" w:cs="Times New Roman"/>
          <w:color w:val="000000"/>
          <w:sz w:val="24"/>
          <w:szCs w:val="24"/>
          <w:lang w:val="pt-BR" w:eastAsia="en-US"/>
        </w:rPr>
        <w:t>Pristatoma į VšĮ Vilniaus miesto klinikinę ligoninę (Antakalnio g. 124, 10200 Vilnius).</w:t>
      </w:r>
    </w:p>
    <w:p w:rsidR="0072157B" w:rsidRDefault="0072157B" w:rsidP="0072157B">
      <w:pPr>
        <w:jc w:val="both"/>
        <w:rPr>
          <w:rFonts w:ascii="Times New Roman" w:hAnsi="Times New Roman" w:cs="Times New Roman"/>
          <w:sz w:val="24"/>
          <w:szCs w:val="24"/>
          <w:lang w:val="lt-LT"/>
        </w:rPr>
      </w:pPr>
    </w:p>
    <w:p w:rsidR="0072157B" w:rsidRDefault="0072157B" w:rsidP="0072157B">
      <w:pPr>
        <w:jc w:val="center"/>
        <w:rPr>
          <w:rFonts w:ascii="Times New Roman" w:hAnsi="Times New Roman" w:cs="Times New Roman"/>
          <w:sz w:val="24"/>
          <w:szCs w:val="24"/>
          <w:lang w:val="lt-LT"/>
        </w:rPr>
      </w:pPr>
    </w:p>
    <w:tbl>
      <w:tblPr>
        <w:tblW w:w="0" w:type="auto"/>
        <w:tblInd w:w="108" w:type="dxa"/>
        <w:tblLayout w:type="fixed"/>
        <w:tblLook w:val="0000"/>
      </w:tblPr>
      <w:tblGrid>
        <w:gridCol w:w="709"/>
        <w:gridCol w:w="2410"/>
        <w:gridCol w:w="4111"/>
        <w:gridCol w:w="4536"/>
        <w:gridCol w:w="2975"/>
      </w:tblGrid>
      <w:tr w:rsidR="0072157B" w:rsidTr="002B4FA2">
        <w:tc>
          <w:tcPr>
            <w:tcW w:w="709" w:type="dxa"/>
            <w:tcBorders>
              <w:top w:val="single" w:sz="4" w:space="0" w:color="000000"/>
              <w:left w:val="single" w:sz="4" w:space="0" w:color="000000"/>
              <w:bottom w:val="single" w:sz="4" w:space="0" w:color="000000"/>
            </w:tcBorders>
            <w:shd w:val="clear" w:color="auto" w:fill="auto"/>
          </w:tcPr>
          <w:p w:rsidR="0072157B" w:rsidRDefault="0072157B" w:rsidP="002B4FA2">
            <w:pPr>
              <w:jc w:val="center"/>
            </w:pPr>
            <w:r>
              <w:rPr>
                <w:rFonts w:ascii="Times New Roman" w:hAnsi="Times New Roman" w:cs="Times New Roman"/>
                <w:b/>
                <w:bCs/>
                <w:sz w:val="24"/>
                <w:szCs w:val="24"/>
                <w:lang w:val="lt-LT"/>
              </w:rPr>
              <w:t>Eil.Nr.</w:t>
            </w:r>
          </w:p>
        </w:tc>
        <w:tc>
          <w:tcPr>
            <w:tcW w:w="2410" w:type="dxa"/>
            <w:tcBorders>
              <w:top w:val="single" w:sz="4" w:space="0" w:color="000000"/>
              <w:left w:val="single" w:sz="4" w:space="0" w:color="000000"/>
              <w:bottom w:val="single" w:sz="4" w:space="0" w:color="000000"/>
            </w:tcBorders>
            <w:shd w:val="clear" w:color="auto" w:fill="auto"/>
          </w:tcPr>
          <w:p w:rsidR="0072157B" w:rsidRDefault="0072157B" w:rsidP="002B4FA2">
            <w:pPr>
              <w:pStyle w:val="Heading1"/>
            </w:pPr>
            <w:r>
              <w:rPr>
                <w:rFonts w:ascii="Times New Roman" w:hAnsi="Times New Roman" w:cs="Times New Roman"/>
                <w:bCs w:val="0"/>
                <w:color w:val="000000"/>
                <w:sz w:val="24"/>
                <w:szCs w:val="24"/>
                <w:lang w:val="pt-BR" w:eastAsia="lt-LT"/>
              </w:rPr>
              <w:t>Pavadinimas/ techniniai parametrai</w:t>
            </w:r>
          </w:p>
        </w:tc>
        <w:tc>
          <w:tcPr>
            <w:tcW w:w="4111" w:type="dxa"/>
            <w:tcBorders>
              <w:top w:val="single" w:sz="4" w:space="0" w:color="000000"/>
              <w:left w:val="single" w:sz="4" w:space="0" w:color="000000"/>
              <w:bottom w:val="single" w:sz="4" w:space="0" w:color="000000"/>
            </w:tcBorders>
            <w:shd w:val="clear" w:color="auto" w:fill="auto"/>
          </w:tcPr>
          <w:p w:rsidR="0072157B" w:rsidRDefault="0072157B" w:rsidP="002B4FA2">
            <w:pPr>
              <w:jc w:val="center"/>
            </w:pPr>
            <w:r>
              <w:rPr>
                <w:rFonts w:ascii="Times New Roman" w:hAnsi="Times New Roman" w:cs="Times New Roman"/>
                <w:b/>
                <w:bCs/>
                <w:color w:val="000000"/>
                <w:sz w:val="24"/>
                <w:szCs w:val="24"/>
                <w:lang w:val="pt-BR" w:eastAsia="lt-LT"/>
              </w:rPr>
              <w:t>Reikalaujami techniniai parametrai</w:t>
            </w:r>
          </w:p>
        </w:tc>
        <w:tc>
          <w:tcPr>
            <w:tcW w:w="4536" w:type="dxa"/>
            <w:tcBorders>
              <w:top w:val="single" w:sz="4" w:space="0" w:color="000000"/>
              <w:left w:val="single" w:sz="4" w:space="0" w:color="000000"/>
              <w:bottom w:val="single" w:sz="4" w:space="0" w:color="000000"/>
            </w:tcBorders>
            <w:shd w:val="clear" w:color="auto" w:fill="auto"/>
          </w:tcPr>
          <w:p w:rsidR="0072157B" w:rsidRDefault="0072157B" w:rsidP="002B4FA2">
            <w:pPr>
              <w:jc w:val="center"/>
            </w:pPr>
            <w:r>
              <w:rPr>
                <w:rFonts w:ascii="Times New Roman" w:hAnsi="Times New Roman" w:cs="Times New Roman"/>
                <w:b/>
                <w:bCs/>
                <w:sz w:val="24"/>
                <w:szCs w:val="24"/>
                <w:lang w:val="lt-LT"/>
              </w:rPr>
              <w:t>Siūlomi techniniai parametrai</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rsidR="0072157B" w:rsidRDefault="0072157B" w:rsidP="002B4FA2">
            <w:pPr>
              <w:jc w:val="center"/>
            </w:pPr>
            <w:r>
              <w:rPr>
                <w:rFonts w:ascii="Times New Roman" w:hAnsi="Times New Roman" w:cs="Times New Roman"/>
                <w:b/>
                <w:bCs/>
                <w:sz w:val="24"/>
                <w:szCs w:val="24"/>
                <w:lang w:val="lt-LT"/>
              </w:rPr>
              <w:t xml:space="preserve">Reikalavimų atitikimas </w:t>
            </w:r>
          </w:p>
          <w:p w:rsidR="0072157B" w:rsidRDefault="0072157B" w:rsidP="002B4FA2">
            <w:pPr>
              <w:snapToGrid w:val="0"/>
              <w:jc w:val="center"/>
            </w:pPr>
            <w:r>
              <w:rPr>
                <w:rFonts w:ascii="Times New Roman" w:hAnsi="Times New Roman" w:cs="Times New Roman"/>
                <w:b/>
                <w:bCs/>
                <w:sz w:val="24"/>
                <w:szCs w:val="24"/>
                <w:lang w:val="lt-LT"/>
              </w:rPr>
              <w:t>(būtina nurodyti tikslią nuorodą analizatoriaus dokumentacijoje (dokumentacijoje tiksliai pažymimas techninis parametras)</w:t>
            </w:r>
          </w:p>
        </w:tc>
      </w:tr>
      <w:tr w:rsidR="0072157B" w:rsidTr="002B4FA2">
        <w:tc>
          <w:tcPr>
            <w:tcW w:w="709" w:type="dxa"/>
            <w:tcBorders>
              <w:top w:val="single" w:sz="4" w:space="0" w:color="000000"/>
              <w:left w:val="single" w:sz="4" w:space="0" w:color="000000"/>
              <w:bottom w:val="single" w:sz="4" w:space="0" w:color="000000"/>
            </w:tcBorders>
            <w:shd w:val="clear" w:color="auto" w:fill="auto"/>
          </w:tcPr>
          <w:p w:rsidR="0072157B" w:rsidRDefault="0072157B" w:rsidP="002B4FA2">
            <w:pPr>
              <w:jc w:val="center"/>
            </w:pPr>
            <w:r>
              <w:rPr>
                <w:rFonts w:ascii="Times New Roman" w:hAnsi="Times New Roman" w:cs="Times New Roman"/>
                <w:szCs w:val="22"/>
                <w:lang w:val="lt-LT"/>
              </w:rPr>
              <w:t>1.</w:t>
            </w:r>
          </w:p>
        </w:tc>
        <w:tc>
          <w:tcPr>
            <w:tcW w:w="2410" w:type="dxa"/>
            <w:tcBorders>
              <w:top w:val="single" w:sz="4" w:space="0" w:color="000000"/>
              <w:left w:val="single" w:sz="4" w:space="0" w:color="000000"/>
              <w:bottom w:val="single" w:sz="4" w:space="0" w:color="000000"/>
            </w:tcBorders>
            <w:shd w:val="clear" w:color="auto" w:fill="auto"/>
          </w:tcPr>
          <w:p w:rsidR="0072157B" w:rsidRDefault="0072157B" w:rsidP="002B4FA2">
            <w:pPr>
              <w:jc w:val="both"/>
            </w:pPr>
            <w:r>
              <w:rPr>
                <w:rFonts w:ascii="Times New Roman" w:hAnsi="Times New Roman" w:cs="Times New Roman"/>
                <w:szCs w:val="22"/>
                <w:lang w:val="lt-LT"/>
              </w:rPr>
              <w:t>Analizatorius – 1 vnt.</w:t>
            </w:r>
          </w:p>
        </w:tc>
        <w:tc>
          <w:tcPr>
            <w:tcW w:w="4111" w:type="dxa"/>
            <w:tcBorders>
              <w:top w:val="single" w:sz="4" w:space="0" w:color="000000"/>
              <w:left w:val="single" w:sz="4" w:space="0" w:color="000000"/>
              <w:bottom w:val="single" w:sz="4" w:space="0" w:color="000000"/>
            </w:tcBorders>
            <w:shd w:val="clear" w:color="auto" w:fill="auto"/>
          </w:tcPr>
          <w:p w:rsidR="0072157B" w:rsidRDefault="0072157B" w:rsidP="002B4FA2">
            <w:pPr>
              <w:snapToGrid w:val="0"/>
              <w:jc w:val="both"/>
            </w:pPr>
            <w:r>
              <w:rPr>
                <w:rFonts w:ascii="Times New Roman" w:hAnsi="Times New Roman" w:cs="Times New Roman"/>
                <w:szCs w:val="22"/>
                <w:lang w:val="lt-LT"/>
              </w:rPr>
              <w:t>Pavadinimas, tipas/modelis, gamintojas</w:t>
            </w:r>
          </w:p>
        </w:tc>
        <w:tc>
          <w:tcPr>
            <w:tcW w:w="4536" w:type="dxa"/>
            <w:tcBorders>
              <w:top w:val="single" w:sz="4" w:space="0" w:color="000000"/>
              <w:left w:val="single" w:sz="4" w:space="0" w:color="000000"/>
              <w:bottom w:val="single" w:sz="4" w:space="0" w:color="000000"/>
            </w:tcBorders>
            <w:shd w:val="clear" w:color="auto" w:fill="auto"/>
          </w:tcPr>
          <w:p w:rsidR="0072157B" w:rsidRPr="002B4FA2" w:rsidRDefault="002B4FA2" w:rsidP="001032F5">
            <w:pPr>
              <w:snapToGrid w:val="0"/>
              <w:rPr>
                <w:rFonts w:ascii="Times New Roman" w:hAnsi="Times New Roman" w:cs="Times New Roman"/>
              </w:rPr>
            </w:pPr>
            <w:r w:rsidRPr="002B4FA2">
              <w:rPr>
                <w:rFonts w:ascii="Times New Roman" w:hAnsi="Times New Roman" w:cs="Times New Roman"/>
              </w:rPr>
              <w:t>A</w:t>
            </w:r>
            <w:r w:rsidR="001032F5">
              <w:rPr>
                <w:rFonts w:ascii="Times New Roman" w:hAnsi="Times New Roman" w:cs="Times New Roman"/>
              </w:rPr>
              <w:t>LEGRIA</w:t>
            </w:r>
            <w:r w:rsidRPr="002B4FA2">
              <w:rPr>
                <w:rFonts w:ascii="Times New Roman" w:hAnsi="Times New Roman" w:cs="Times New Roman"/>
              </w:rPr>
              <w:t xml:space="preserve">, </w:t>
            </w:r>
            <w:proofErr w:type="spellStart"/>
            <w:r w:rsidR="001032F5">
              <w:rPr>
                <w:rFonts w:ascii="Times New Roman" w:hAnsi="Times New Roman" w:cs="Times New Roman"/>
              </w:rPr>
              <w:t>Pilnai</w:t>
            </w:r>
            <w:proofErr w:type="spellEnd"/>
            <w:r w:rsidR="001032F5">
              <w:rPr>
                <w:rFonts w:ascii="Times New Roman" w:hAnsi="Times New Roman" w:cs="Times New Roman"/>
              </w:rPr>
              <w:t xml:space="preserve"> </w:t>
            </w:r>
            <w:proofErr w:type="spellStart"/>
            <w:r w:rsidR="001032F5">
              <w:rPr>
                <w:rFonts w:ascii="Times New Roman" w:hAnsi="Times New Roman" w:cs="Times New Roman"/>
              </w:rPr>
              <w:t>a</w:t>
            </w:r>
            <w:r w:rsidRPr="002B4FA2">
              <w:rPr>
                <w:rFonts w:ascii="Times New Roman" w:hAnsi="Times New Roman" w:cs="Times New Roman"/>
              </w:rPr>
              <w:t>utomatinė</w:t>
            </w:r>
            <w:proofErr w:type="spellEnd"/>
            <w:r w:rsidRPr="002B4FA2">
              <w:rPr>
                <w:rFonts w:ascii="Times New Roman" w:hAnsi="Times New Roman" w:cs="Times New Roman"/>
              </w:rPr>
              <w:t xml:space="preserve"> </w:t>
            </w:r>
            <w:proofErr w:type="spellStart"/>
            <w:r w:rsidRPr="002B4FA2">
              <w:rPr>
                <w:rFonts w:ascii="Times New Roman" w:hAnsi="Times New Roman" w:cs="Times New Roman"/>
              </w:rPr>
              <w:t>analitinė</w:t>
            </w:r>
            <w:proofErr w:type="spellEnd"/>
            <w:r w:rsidRPr="002B4FA2">
              <w:rPr>
                <w:rFonts w:ascii="Times New Roman" w:hAnsi="Times New Roman" w:cs="Times New Roman"/>
              </w:rPr>
              <w:t xml:space="preserve"> </w:t>
            </w:r>
            <w:proofErr w:type="spellStart"/>
            <w:r w:rsidRPr="002B4FA2">
              <w:rPr>
                <w:rFonts w:ascii="Times New Roman" w:hAnsi="Times New Roman" w:cs="Times New Roman"/>
              </w:rPr>
              <w:t>sistema</w:t>
            </w:r>
            <w:proofErr w:type="spellEnd"/>
            <w:r w:rsidRPr="002B4FA2">
              <w:rPr>
                <w:rFonts w:ascii="Times New Roman" w:hAnsi="Times New Roman" w:cs="Times New Roman"/>
              </w:rPr>
              <w:t>, Orgentec 2016 m.</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rsidR="0072157B" w:rsidRPr="001032F5" w:rsidRDefault="001032F5" w:rsidP="002B4FA2">
            <w:pPr>
              <w:snapToGrid w:val="0"/>
              <w:rPr>
                <w:rFonts w:ascii="Times New Roman" w:hAnsi="Times New Roman" w:cs="Times New Roman"/>
              </w:rPr>
            </w:pPr>
            <w:r w:rsidRPr="001032F5">
              <w:rPr>
                <w:rFonts w:ascii="Times New Roman" w:hAnsi="Times New Roman" w:cs="Times New Roman"/>
              </w:rPr>
              <w:t>Orgentec Brošiūra_LT</w:t>
            </w:r>
            <w:r>
              <w:rPr>
                <w:rFonts w:ascii="Times New Roman" w:hAnsi="Times New Roman" w:cs="Times New Roman"/>
              </w:rPr>
              <w:t>_1.</w:t>
            </w:r>
            <w:r w:rsidR="00896C11">
              <w:rPr>
                <w:rFonts w:ascii="Times New Roman" w:hAnsi="Times New Roman" w:cs="Times New Roman"/>
              </w:rPr>
              <w:t>1psl.</w:t>
            </w:r>
          </w:p>
        </w:tc>
      </w:tr>
      <w:tr w:rsidR="0072157B" w:rsidTr="002B4FA2">
        <w:tc>
          <w:tcPr>
            <w:tcW w:w="709" w:type="dxa"/>
            <w:tcBorders>
              <w:top w:val="single" w:sz="4" w:space="0" w:color="000000"/>
              <w:left w:val="single" w:sz="4" w:space="0" w:color="000000"/>
              <w:bottom w:val="single" w:sz="4" w:space="0" w:color="000000"/>
            </w:tcBorders>
            <w:shd w:val="clear" w:color="auto" w:fill="auto"/>
          </w:tcPr>
          <w:p w:rsidR="0072157B" w:rsidRDefault="0072157B" w:rsidP="002B4FA2">
            <w:pPr>
              <w:jc w:val="center"/>
            </w:pPr>
            <w:r>
              <w:rPr>
                <w:rFonts w:ascii="Times New Roman" w:hAnsi="Times New Roman" w:cs="Times New Roman"/>
                <w:szCs w:val="22"/>
                <w:lang w:val="lt-LT"/>
              </w:rPr>
              <w:t>2.</w:t>
            </w:r>
          </w:p>
        </w:tc>
        <w:tc>
          <w:tcPr>
            <w:tcW w:w="2410" w:type="dxa"/>
            <w:tcBorders>
              <w:top w:val="single" w:sz="4" w:space="0" w:color="000000"/>
              <w:left w:val="single" w:sz="4" w:space="0" w:color="000000"/>
              <w:bottom w:val="single" w:sz="4" w:space="0" w:color="000000"/>
            </w:tcBorders>
            <w:shd w:val="clear" w:color="auto" w:fill="auto"/>
          </w:tcPr>
          <w:p w:rsidR="0072157B" w:rsidRDefault="0072157B" w:rsidP="002B4FA2">
            <w:pPr>
              <w:jc w:val="both"/>
            </w:pPr>
            <w:r>
              <w:rPr>
                <w:rFonts w:ascii="Times New Roman" w:hAnsi="Times New Roman" w:cs="Times New Roman"/>
                <w:szCs w:val="22"/>
                <w:lang w:val="lt-LT"/>
              </w:rPr>
              <w:t>Reikalavimai pilnai automatiniam imunofermentinių tyrimų analizatoriui</w:t>
            </w:r>
          </w:p>
        </w:tc>
        <w:tc>
          <w:tcPr>
            <w:tcW w:w="4111" w:type="dxa"/>
            <w:tcBorders>
              <w:top w:val="single" w:sz="4" w:space="0" w:color="000000"/>
              <w:left w:val="single" w:sz="4" w:space="0" w:color="000000"/>
              <w:bottom w:val="single" w:sz="4" w:space="0" w:color="000000"/>
            </w:tcBorders>
            <w:shd w:val="clear" w:color="auto" w:fill="auto"/>
          </w:tcPr>
          <w:p w:rsidR="0072157B" w:rsidRDefault="0072157B" w:rsidP="002B4FA2">
            <w:pPr>
              <w:jc w:val="both"/>
            </w:pPr>
            <w:r>
              <w:rPr>
                <w:rFonts w:ascii="Times New Roman" w:hAnsi="Times New Roman" w:cs="Times New Roman"/>
                <w:szCs w:val="22"/>
                <w:lang w:val="lt-LT"/>
              </w:rPr>
              <w:t>Galintis atlikti iki 30 skirtingų tyrimų vienu kartu.</w:t>
            </w:r>
          </w:p>
        </w:tc>
        <w:tc>
          <w:tcPr>
            <w:tcW w:w="4536" w:type="dxa"/>
            <w:tcBorders>
              <w:top w:val="single" w:sz="4" w:space="0" w:color="000000"/>
              <w:left w:val="single" w:sz="4" w:space="0" w:color="000000"/>
              <w:bottom w:val="single" w:sz="4" w:space="0" w:color="000000"/>
            </w:tcBorders>
            <w:shd w:val="clear" w:color="auto" w:fill="auto"/>
          </w:tcPr>
          <w:p w:rsidR="0072157B" w:rsidRPr="002B4FA2" w:rsidRDefault="002B4FA2" w:rsidP="002B4FA2">
            <w:pPr>
              <w:snapToGrid w:val="0"/>
              <w:rPr>
                <w:rFonts w:ascii="Times New Roman" w:hAnsi="Times New Roman" w:cs="Times New Roman"/>
              </w:rPr>
            </w:pPr>
            <w:r w:rsidRPr="002B4FA2">
              <w:rPr>
                <w:rFonts w:ascii="Times New Roman" w:hAnsi="Times New Roman" w:cs="Times New Roman"/>
                <w:szCs w:val="22"/>
                <w:lang w:val="lt-LT"/>
              </w:rPr>
              <w:t>iki 30 skirtingų tyrimų vienu kartu.</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rsidR="0072157B" w:rsidRDefault="001032F5" w:rsidP="001032F5">
            <w:pPr>
              <w:snapToGrid w:val="0"/>
            </w:pPr>
            <w:r w:rsidRPr="001032F5">
              <w:rPr>
                <w:rFonts w:ascii="Times New Roman" w:hAnsi="Times New Roman" w:cs="Times New Roman"/>
              </w:rPr>
              <w:t>Orgentec Brošiūra_LT</w:t>
            </w:r>
            <w:r>
              <w:rPr>
                <w:rFonts w:ascii="Times New Roman" w:hAnsi="Times New Roman" w:cs="Times New Roman"/>
              </w:rPr>
              <w:t>_2.</w:t>
            </w:r>
            <w:r w:rsidR="00896C11">
              <w:rPr>
                <w:rFonts w:ascii="Times New Roman" w:hAnsi="Times New Roman" w:cs="Times New Roman"/>
              </w:rPr>
              <w:t>2psl.</w:t>
            </w:r>
          </w:p>
        </w:tc>
      </w:tr>
      <w:tr w:rsidR="0072157B" w:rsidTr="002B4FA2">
        <w:tc>
          <w:tcPr>
            <w:tcW w:w="709" w:type="dxa"/>
            <w:tcBorders>
              <w:top w:val="single" w:sz="4" w:space="0" w:color="000000"/>
              <w:left w:val="single" w:sz="4" w:space="0" w:color="000000"/>
              <w:bottom w:val="single" w:sz="4" w:space="0" w:color="000000"/>
            </w:tcBorders>
            <w:shd w:val="clear" w:color="auto" w:fill="auto"/>
          </w:tcPr>
          <w:p w:rsidR="0072157B" w:rsidRDefault="0072157B" w:rsidP="002B4FA2">
            <w:pPr>
              <w:jc w:val="center"/>
            </w:pPr>
            <w:r>
              <w:rPr>
                <w:rFonts w:ascii="Times New Roman" w:hAnsi="Times New Roman" w:cs="Times New Roman"/>
                <w:szCs w:val="22"/>
                <w:lang w:val="lt-LT"/>
              </w:rPr>
              <w:t>3.</w:t>
            </w:r>
          </w:p>
        </w:tc>
        <w:tc>
          <w:tcPr>
            <w:tcW w:w="2410" w:type="dxa"/>
            <w:tcBorders>
              <w:top w:val="single" w:sz="4" w:space="0" w:color="000000"/>
              <w:left w:val="single" w:sz="4" w:space="0" w:color="000000"/>
              <w:bottom w:val="single" w:sz="4" w:space="0" w:color="000000"/>
            </w:tcBorders>
            <w:shd w:val="clear" w:color="auto" w:fill="auto"/>
          </w:tcPr>
          <w:p w:rsidR="0072157B" w:rsidRDefault="0072157B" w:rsidP="002B4FA2">
            <w:pPr>
              <w:jc w:val="both"/>
            </w:pPr>
            <w:r>
              <w:rPr>
                <w:rFonts w:ascii="Times New Roman" w:hAnsi="Times New Roman" w:cs="Times New Roman"/>
                <w:szCs w:val="22"/>
                <w:lang w:val="lt-LT"/>
              </w:rPr>
              <w:t>Tyrimų metodikos</w:t>
            </w:r>
          </w:p>
        </w:tc>
        <w:tc>
          <w:tcPr>
            <w:tcW w:w="4111" w:type="dxa"/>
            <w:tcBorders>
              <w:top w:val="single" w:sz="4" w:space="0" w:color="000000"/>
              <w:left w:val="single" w:sz="4" w:space="0" w:color="000000"/>
              <w:bottom w:val="single" w:sz="4" w:space="0" w:color="000000"/>
            </w:tcBorders>
            <w:shd w:val="clear" w:color="auto" w:fill="auto"/>
          </w:tcPr>
          <w:p w:rsidR="0072157B" w:rsidRDefault="0072157B" w:rsidP="002B4FA2">
            <w:pPr>
              <w:jc w:val="both"/>
            </w:pPr>
            <w:r>
              <w:rPr>
                <w:rFonts w:ascii="Times New Roman" w:hAnsi="Times New Roman" w:cs="Times New Roman"/>
                <w:szCs w:val="22"/>
                <w:lang w:val="lt-LT"/>
              </w:rPr>
              <w:t>Kiekybinis autoantikūnų aptikimo procesas pilnai automatizuotas, kiekvienas mėginys patvirtinamas atskira kontrole</w:t>
            </w:r>
          </w:p>
        </w:tc>
        <w:tc>
          <w:tcPr>
            <w:tcW w:w="4536" w:type="dxa"/>
            <w:tcBorders>
              <w:top w:val="single" w:sz="4" w:space="0" w:color="000000"/>
              <w:left w:val="single" w:sz="4" w:space="0" w:color="000000"/>
              <w:bottom w:val="single" w:sz="4" w:space="0" w:color="000000"/>
            </w:tcBorders>
            <w:shd w:val="clear" w:color="auto" w:fill="auto"/>
          </w:tcPr>
          <w:p w:rsidR="0072157B" w:rsidRPr="002B4FA2" w:rsidRDefault="002B4FA2" w:rsidP="002B4FA2">
            <w:pPr>
              <w:snapToGrid w:val="0"/>
              <w:rPr>
                <w:rFonts w:ascii="Times New Roman" w:hAnsi="Times New Roman" w:cs="Times New Roman"/>
              </w:rPr>
            </w:pPr>
            <w:r w:rsidRPr="002B4FA2">
              <w:rPr>
                <w:rFonts w:ascii="Times New Roman" w:hAnsi="Times New Roman" w:cs="Times New Roman"/>
                <w:szCs w:val="22"/>
                <w:lang w:val="lt-LT"/>
              </w:rPr>
              <w:t>Kiekybinis autoantikūnų aptikimo procesas pilnai automatizuotas, kiekvienas mėginys patvirtinamas atskira kontrole</w:t>
            </w:r>
            <w:r w:rsidR="001032F5">
              <w:rPr>
                <w:rFonts w:ascii="Times New Roman" w:hAnsi="Times New Roman" w:cs="Times New Roman"/>
                <w:szCs w:val="22"/>
                <w:lang w:val="lt-LT"/>
              </w:rPr>
              <w:t>.</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rsidR="0072157B" w:rsidRDefault="001032F5" w:rsidP="001032F5">
            <w:pPr>
              <w:snapToGrid w:val="0"/>
            </w:pPr>
            <w:r w:rsidRPr="001032F5">
              <w:rPr>
                <w:rFonts w:ascii="Times New Roman" w:hAnsi="Times New Roman" w:cs="Times New Roman"/>
              </w:rPr>
              <w:t>Orgentec Brošiūra_LT</w:t>
            </w:r>
            <w:r>
              <w:rPr>
                <w:rFonts w:ascii="Times New Roman" w:hAnsi="Times New Roman" w:cs="Times New Roman"/>
              </w:rPr>
              <w:t>_3.</w:t>
            </w:r>
            <w:r w:rsidR="00896C11">
              <w:rPr>
                <w:rFonts w:ascii="Times New Roman" w:hAnsi="Times New Roman" w:cs="Times New Roman"/>
              </w:rPr>
              <w:t>2psl.</w:t>
            </w:r>
          </w:p>
        </w:tc>
      </w:tr>
      <w:tr w:rsidR="0072157B" w:rsidTr="002B4FA2">
        <w:tc>
          <w:tcPr>
            <w:tcW w:w="709" w:type="dxa"/>
            <w:tcBorders>
              <w:top w:val="single" w:sz="4" w:space="0" w:color="000000"/>
              <w:left w:val="single" w:sz="4" w:space="0" w:color="000000"/>
              <w:bottom w:val="single" w:sz="4" w:space="0" w:color="000000"/>
            </w:tcBorders>
            <w:shd w:val="clear" w:color="auto" w:fill="auto"/>
          </w:tcPr>
          <w:p w:rsidR="0072157B" w:rsidRDefault="0072157B" w:rsidP="002B4FA2">
            <w:pPr>
              <w:jc w:val="center"/>
            </w:pPr>
            <w:r>
              <w:rPr>
                <w:rFonts w:ascii="Times New Roman" w:hAnsi="Times New Roman" w:cs="Times New Roman"/>
                <w:szCs w:val="22"/>
                <w:lang w:val="lt-LT"/>
              </w:rPr>
              <w:t>4.</w:t>
            </w:r>
          </w:p>
        </w:tc>
        <w:tc>
          <w:tcPr>
            <w:tcW w:w="2410" w:type="dxa"/>
            <w:tcBorders>
              <w:top w:val="single" w:sz="4" w:space="0" w:color="000000"/>
              <w:left w:val="single" w:sz="4" w:space="0" w:color="000000"/>
              <w:bottom w:val="single" w:sz="4" w:space="0" w:color="000000"/>
            </w:tcBorders>
            <w:shd w:val="clear" w:color="auto" w:fill="auto"/>
          </w:tcPr>
          <w:p w:rsidR="0072157B" w:rsidRDefault="0072157B" w:rsidP="002B4FA2">
            <w:pPr>
              <w:jc w:val="both"/>
            </w:pPr>
            <w:r>
              <w:rPr>
                <w:rFonts w:ascii="Times New Roman" w:hAnsi="Times New Roman" w:cs="Times New Roman"/>
                <w:szCs w:val="22"/>
                <w:lang w:val="lt-LT"/>
              </w:rPr>
              <w:t>Tyrimų atlikimo sparta</w:t>
            </w:r>
          </w:p>
        </w:tc>
        <w:tc>
          <w:tcPr>
            <w:tcW w:w="4111" w:type="dxa"/>
            <w:tcBorders>
              <w:top w:val="single" w:sz="4" w:space="0" w:color="000000"/>
              <w:left w:val="single" w:sz="4" w:space="0" w:color="000000"/>
              <w:bottom w:val="single" w:sz="4" w:space="0" w:color="000000"/>
            </w:tcBorders>
            <w:shd w:val="clear" w:color="auto" w:fill="auto"/>
          </w:tcPr>
          <w:p w:rsidR="0072157B" w:rsidRDefault="0072157B" w:rsidP="002B4FA2">
            <w:pPr>
              <w:snapToGrid w:val="0"/>
            </w:pPr>
            <w:r>
              <w:rPr>
                <w:rFonts w:ascii="Times New Roman" w:hAnsi="Times New Roman" w:cs="Times New Roman"/>
                <w:szCs w:val="22"/>
                <w:lang w:val="lt-LT"/>
              </w:rPr>
              <w:t>Ne mažiau 30 tyrimų per 2 valandas</w:t>
            </w:r>
          </w:p>
        </w:tc>
        <w:tc>
          <w:tcPr>
            <w:tcW w:w="4536" w:type="dxa"/>
            <w:tcBorders>
              <w:top w:val="single" w:sz="4" w:space="0" w:color="000000"/>
              <w:left w:val="single" w:sz="4" w:space="0" w:color="000000"/>
              <w:bottom w:val="single" w:sz="4" w:space="0" w:color="000000"/>
            </w:tcBorders>
            <w:shd w:val="clear" w:color="auto" w:fill="auto"/>
          </w:tcPr>
          <w:p w:rsidR="0072157B" w:rsidRPr="002B4FA2" w:rsidRDefault="002B4FA2" w:rsidP="002B4FA2">
            <w:pPr>
              <w:snapToGrid w:val="0"/>
              <w:rPr>
                <w:rFonts w:ascii="Times New Roman" w:hAnsi="Times New Roman" w:cs="Times New Roman"/>
              </w:rPr>
            </w:pPr>
            <w:r w:rsidRPr="002B4FA2">
              <w:rPr>
                <w:rFonts w:ascii="Times New Roman" w:hAnsi="Times New Roman" w:cs="Times New Roman"/>
                <w:szCs w:val="22"/>
                <w:lang w:val="lt-LT"/>
              </w:rPr>
              <w:t>Ne mažiau 30 tyrimų per 2 valandas</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rsidR="0072157B" w:rsidRDefault="001032F5" w:rsidP="001032F5">
            <w:pPr>
              <w:snapToGrid w:val="0"/>
            </w:pPr>
            <w:r w:rsidRPr="001032F5">
              <w:rPr>
                <w:rFonts w:ascii="Times New Roman" w:hAnsi="Times New Roman" w:cs="Times New Roman"/>
              </w:rPr>
              <w:t>Orgentec Brošiūra_LT</w:t>
            </w:r>
            <w:r>
              <w:rPr>
                <w:rFonts w:ascii="Times New Roman" w:hAnsi="Times New Roman" w:cs="Times New Roman"/>
              </w:rPr>
              <w:t>_4.</w:t>
            </w:r>
            <w:r w:rsidR="00896C11">
              <w:rPr>
                <w:rFonts w:ascii="Times New Roman" w:hAnsi="Times New Roman" w:cs="Times New Roman"/>
              </w:rPr>
              <w:t>1psl.</w:t>
            </w:r>
          </w:p>
        </w:tc>
      </w:tr>
      <w:tr w:rsidR="0072157B" w:rsidTr="002B4FA2">
        <w:tc>
          <w:tcPr>
            <w:tcW w:w="709" w:type="dxa"/>
            <w:tcBorders>
              <w:top w:val="single" w:sz="4" w:space="0" w:color="000000"/>
              <w:left w:val="single" w:sz="4" w:space="0" w:color="000000"/>
              <w:bottom w:val="single" w:sz="4" w:space="0" w:color="000000"/>
            </w:tcBorders>
            <w:shd w:val="clear" w:color="auto" w:fill="auto"/>
          </w:tcPr>
          <w:p w:rsidR="0072157B" w:rsidRDefault="0072157B" w:rsidP="002B4FA2">
            <w:pPr>
              <w:jc w:val="center"/>
            </w:pPr>
            <w:r>
              <w:rPr>
                <w:rFonts w:ascii="Times New Roman" w:hAnsi="Times New Roman" w:cs="Times New Roman"/>
                <w:szCs w:val="22"/>
                <w:lang w:val="lt-LT"/>
              </w:rPr>
              <w:t>5.</w:t>
            </w:r>
          </w:p>
        </w:tc>
        <w:tc>
          <w:tcPr>
            <w:tcW w:w="2410" w:type="dxa"/>
            <w:tcBorders>
              <w:top w:val="single" w:sz="4" w:space="0" w:color="000000"/>
              <w:left w:val="single" w:sz="4" w:space="0" w:color="000000"/>
              <w:bottom w:val="single" w:sz="4" w:space="0" w:color="000000"/>
            </w:tcBorders>
            <w:shd w:val="clear" w:color="auto" w:fill="auto"/>
          </w:tcPr>
          <w:p w:rsidR="0072157B" w:rsidRDefault="0072157B" w:rsidP="002B4FA2">
            <w:pPr>
              <w:jc w:val="both"/>
            </w:pPr>
            <w:r>
              <w:rPr>
                <w:rFonts w:ascii="Times New Roman" w:hAnsi="Times New Roman" w:cs="Times New Roman"/>
                <w:szCs w:val="22"/>
                <w:lang w:val="lt-LT"/>
              </w:rPr>
              <w:t>Analizatoriuje turi būti temperatūros palaikymo (galinti ir šildyti ir šaldyti) sistema</w:t>
            </w:r>
          </w:p>
        </w:tc>
        <w:tc>
          <w:tcPr>
            <w:tcW w:w="4111" w:type="dxa"/>
            <w:tcBorders>
              <w:top w:val="single" w:sz="4" w:space="0" w:color="000000"/>
              <w:left w:val="single" w:sz="4" w:space="0" w:color="000000"/>
              <w:bottom w:val="single" w:sz="4" w:space="0" w:color="000000"/>
            </w:tcBorders>
            <w:shd w:val="clear" w:color="auto" w:fill="auto"/>
          </w:tcPr>
          <w:p w:rsidR="0072157B" w:rsidRDefault="0072157B" w:rsidP="002B4FA2">
            <w:pPr>
              <w:jc w:val="both"/>
            </w:pPr>
            <w:r>
              <w:rPr>
                <w:rFonts w:ascii="Times New Roman" w:hAnsi="Times New Roman" w:cs="Times New Roman"/>
                <w:sz w:val="24"/>
                <w:szCs w:val="24"/>
                <w:lang w:val="lt-LT"/>
              </w:rPr>
              <w:t>Būtina</w:t>
            </w:r>
          </w:p>
        </w:tc>
        <w:tc>
          <w:tcPr>
            <w:tcW w:w="4536" w:type="dxa"/>
            <w:tcBorders>
              <w:top w:val="single" w:sz="4" w:space="0" w:color="000000"/>
              <w:left w:val="single" w:sz="4" w:space="0" w:color="000000"/>
              <w:bottom w:val="single" w:sz="4" w:space="0" w:color="000000"/>
            </w:tcBorders>
            <w:shd w:val="clear" w:color="auto" w:fill="auto"/>
          </w:tcPr>
          <w:p w:rsidR="0072157B" w:rsidRPr="002B4FA2" w:rsidRDefault="002B4FA2" w:rsidP="002B4FA2">
            <w:pPr>
              <w:snapToGrid w:val="0"/>
              <w:rPr>
                <w:rFonts w:ascii="Times New Roman" w:hAnsi="Times New Roman" w:cs="Times New Roman"/>
              </w:rPr>
            </w:pPr>
            <w:proofErr w:type="spellStart"/>
            <w:r w:rsidRPr="002B4FA2">
              <w:rPr>
                <w:rFonts w:ascii="Times New Roman" w:hAnsi="Times New Roman" w:cs="Times New Roman"/>
              </w:rPr>
              <w:t>Yra</w:t>
            </w:r>
            <w:proofErr w:type="spellEnd"/>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rsidR="0072157B" w:rsidRDefault="001032F5" w:rsidP="001032F5">
            <w:pPr>
              <w:snapToGrid w:val="0"/>
            </w:pPr>
            <w:r w:rsidRPr="001032F5">
              <w:rPr>
                <w:rFonts w:ascii="Times New Roman" w:hAnsi="Times New Roman" w:cs="Times New Roman"/>
              </w:rPr>
              <w:t>Orgentec Brošiūra_LT</w:t>
            </w:r>
            <w:r>
              <w:rPr>
                <w:rFonts w:ascii="Times New Roman" w:hAnsi="Times New Roman" w:cs="Times New Roman"/>
              </w:rPr>
              <w:t>_5.</w:t>
            </w:r>
            <w:r w:rsidR="00896C11">
              <w:rPr>
                <w:rFonts w:ascii="Times New Roman" w:hAnsi="Times New Roman" w:cs="Times New Roman"/>
              </w:rPr>
              <w:t>2psl.</w:t>
            </w:r>
          </w:p>
        </w:tc>
      </w:tr>
      <w:tr w:rsidR="0072157B" w:rsidTr="002B4FA2">
        <w:tc>
          <w:tcPr>
            <w:tcW w:w="709" w:type="dxa"/>
            <w:tcBorders>
              <w:top w:val="single" w:sz="4" w:space="0" w:color="000000"/>
              <w:left w:val="single" w:sz="4" w:space="0" w:color="000000"/>
              <w:bottom w:val="single" w:sz="4" w:space="0" w:color="000000"/>
            </w:tcBorders>
            <w:shd w:val="clear" w:color="auto" w:fill="auto"/>
          </w:tcPr>
          <w:p w:rsidR="0072157B" w:rsidRDefault="0072157B" w:rsidP="002B4FA2">
            <w:pPr>
              <w:jc w:val="center"/>
            </w:pPr>
            <w:r>
              <w:rPr>
                <w:rFonts w:ascii="Times New Roman" w:hAnsi="Times New Roman" w:cs="Times New Roman"/>
                <w:szCs w:val="22"/>
                <w:lang w:val="lt-LT"/>
              </w:rPr>
              <w:t>6.</w:t>
            </w:r>
          </w:p>
        </w:tc>
        <w:tc>
          <w:tcPr>
            <w:tcW w:w="2410" w:type="dxa"/>
            <w:tcBorders>
              <w:top w:val="single" w:sz="4" w:space="0" w:color="000000"/>
              <w:left w:val="single" w:sz="4" w:space="0" w:color="000000"/>
              <w:bottom w:val="single" w:sz="4" w:space="0" w:color="000000"/>
            </w:tcBorders>
            <w:shd w:val="clear" w:color="auto" w:fill="auto"/>
          </w:tcPr>
          <w:p w:rsidR="0072157B" w:rsidRDefault="0072157B" w:rsidP="002B4FA2">
            <w:pPr>
              <w:jc w:val="both"/>
            </w:pPr>
            <w:r>
              <w:rPr>
                <w:rFonts w:ascii="Times New Roman" w:hAnsi="Times New Roman" w:cs="Times New Roman"/>
                <w:szCs w:val="22"/>
                <w:lang w:val="lt-LT"/>
              </w:rPr>
              <w:t>Integruotas spausdintuvas su galimybe prijungti išorinį spausdintuvą.</w:t>
            </w:r>
          </w:p>
        </w:tc>
        <w:tc>
          <w:tcPr>
            <w:tcW w:w="4111" w:type="dxa"/>
            <w:tcBorders>
              <w:top w:val="single" w:sz="4" w:space="0" w:color="000000"/>
              <w:left w:val="single" w:sz="4" w:space="0" w:color="000000"/>
              <w:bottom w:val="single" w:sz="4" w:space="0" w:color="000000"/>
            </w:tcBorders>
            <w:shd w:val="clear" w:color="auto" w:fill="auto"/>
          </w:tcPr>
          <w:p w:rsidR="0072157B" w:rsidRDefault="0072157B" w:rsidP="002B4FA2">
            <w:pPr>
              <w:jc w:val="both"/>
            </w:pPr>
            <w:r>
              <w:rPr>
                <w:rFonts w:ascii="Times New Roman" w:hAnsi="Times New Roman" w:cs="Times New Roman"/>
                <w:sz w:val="24"/>
                <w:szCs w:val="24"/>
                <w:lang w:val="lt-LT"/>
              </w:rPr>
              <w:t>Būtina</w:t>
            </w:r>
          </w:p>
        </w:tc>
        <w:tc>
          <w:tcPr>
            <w:tcW w:w="4536" w:type="dxa"/>
            <w:tcBorders>
              <w:top w:val="single" w:sz="4" w:space="0" w:color="000000"/>
              <w:left w:val="single" w:sz="4" w:space="0" w:color="000000"/>
              <w:bottom w:val="single" w:sz="4" w:space="0" w:color="000000"/>
            </w:tcBorders>
            <w:shd w:val="clear" w:color="auto" w:fill="auto"/>
          </w:tcPr>
          <w:p w:rsidR="0072157B" w:rsidRPr="002B4FA2" w:rsidRDefault="002B4FA2" w:rsidP="002B4FA2">
            <w:pPr>
              <w:snapToGrid w:val="0"/>
              <w:rPr>
                <w:rFonts w:ascii="Times New Roman" w:hAnsi="Times New Roman" w:cs="Times New Roman"/>
              </w:rPr>
            </w:pPr>
            <w:proofErr w:type="spellStart"/>
            <w:r w:rsidRPr="002B4FA2">
              <w:rPr>
                <w:rFonts w:ascii="Times New Roman" w:hAnsi="Times New Roman" w:cs="Times New Roman"/>
              </w:rPr>
              <w:t>Yra</w:t>
            </w:r>
            <w:proofErr w:type="spellEnd"/>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rsidR="0072157B" w:rsidRDefault="00896C11" w:rsidP="00896C11">
            <w:pPr>
              <w:snapToGrid w:val="0"/>
            </w:pPr>
            <w:r w:rsidRPr="001032F5">
              <w:rPr>
                <w:rFonts w:ascii="Times New Roman" w:hAnsi="Times New Roman" w:cs="Times New Roman"/>
              </w:rPr>
              <w:t>Orgentec Brošiūra_LT</w:t>
            </w:r>
            <w:r>
              <w:rPr>
                <w:rFonts w:ascii="Times New Roman" w:hAnsi="Times New Roman" w:cs="Times New Roman"/>
              </w:rPr>
              <w:t>_6.3psl.</w:t>
            </w:r>
          </w:p>
        </w:tc>
      </w:tr>
      <w:tr w:rsidR="0072157B" w:rsidTr="002B4FA2">
        <w:tc>
          <w:tcPr>
            <w:tcW w:w="709" w:type="dxa"/>
            <w:tcBorders>
              <w:top w:val="single" w:sz="4" w:space="0" w:color="000000"/>
              <w:left w:val="single" w:sz="4" w:space="0" w:color="000000"/>
              <w:bottom w:val="single" w:sz="4" w:space="0" w:color="000000"/>
            </w:tcBorders>
            <w:shd w:val="clear" w:color="auto" w:fill="auto"/>
          </w:tcPr>
          <w:p w:rsidR="0072157B" w:rsidRDefault="0072157B" w:rsidP="002B4FA2">
            <w:pPr>
              <w:jc w:val="center"/>
            </w:pPr>
            <w:r>
              <w:rPr>
                <w:rFonts w:ascii="Times New Roman" w:hAnsi="Times New Roman" w:cs="Times New Roman"/>
                <w:szCs w:val="22"/>
                <w:lang w:val="lt-LT"/>
              </w:rPr>
              <w:t>7.</w:t>
            </w:r>
          </w:p>
        </w:tc>
        <w:tc>
          <w:tcPr>
            <w:tcW w:w="2410" w:type="dxa"/>
            <w:tcBorders>
              <w:top w:val="single" w:sz="4" w:space="0" w:color="000000"/>
              <w:left w:val="single" w:sz="4" w:space="0" w:color="000000"/>
              <w:bottom w:val="single" w:sz="4" w:space="0" w:color="000000"/>
            </w:tcBorders>
            <w:shd w:val="clear" w:color="auto" w:fill="auto"/>
          </w:tcPr>
          <w:p w:rsidR="0072157B" w:rsidRPr="005676C4" w:rsidRDefault="0072157B" w:rsidP="002B4FA2">
            <w:r w:rsidRPr="005676C4">
              <w:rPr>
                <w:rFonts w:ascii="Times New Roman" w:hAnsi="Times New Roman" w:cs="Times New Roman"/>
                <w:lang w:val="lt-LT"/>
              </w:rPr>
              <w:t>Analizatorius privalo turėti galimybę nuskaityti brūkšninių kodų tipus naudojamus ligoninėje – code 39 arba 128c.</w:t>
            </w:r>
          </w:p>
        </w:tc>
        <w:tc>
          <w:tcPr>
            <w:tcW w:w="4111" w:type="dxa"/>
            <w:tcBorders>
              <w:top w:val="single" w:sz="4" w:space="0" w:color="000000"/>
              <w:left w:val="single" w:sz="4" w:space="0" w:color="000000"/>
              <w:bottom w:val="single" w:sz="4" w:space="0" w:color="000000"/>
            </w:tcBorders>
            <w:shd w:val="clear" w:color="auto" w:fill="auto"/>
          </w:tcPr>
          <w:p w:rsidR="0072157B" w:rsidRPr="005676C4" w:rsidRDefault="0072157B" w:rsidP="002B4FA2">
            <w:pPr>
              <w:ind w:left="21"/>
              <w:jc w:val="both"/>
            </w:pPr>
            <w:r w:rsidRPr="005676C4">
              <w:rPr>
                <w:rFonts w:ascii="Times New Roman" w:hAnsi="Times New Roman" w:cs="Times New Roman"/>
                <w:szCs w:val="22"/>
                <w:lang w:val="lt-LT"/>
              </w:rPr>
              <w:t>Būtina</w:t>
            </w:r>
          </w:p>
        </w:tc>
        <w:tc>
          <w:tcPr>
            <w:tcW w:w="4536" w:type="dxa"/>
            <w:tcBorders>
              <w:top w:val="single" w:sz="4" w:space="0" w:color="000000"/>
              <w:left w:val="single" w:sz="4" w:space="0" w:color="000000"/>
              <w:bottom w:val="single" w:sz="4" w:space="0" w:color="000000"/>
            </w:tcBorders>
            <w:shd w:val="clear" w:color="auto" w:fill="auto"/>
          </w:tcPr>
          <w:p w:rsidR="0072157B" w:rsidRPr="002B4FA2" w:rsidRDefault="002B4FA2" w:rsidP="002B4FA2">
            <w:pPr>
              <w:snapToGrid w:val="0"/>
              <w:rPr>
                <w:rFonts w:ascii="Times New Roman" w:hAnsi="Times New Roman" w:cs="Times New Roman"/>
              </w:rPr>
            </w:pPr>
            <w:proofErr w:type="spellStart"/>
            <w:r w:rsidRPr="002B4FA2">
              <w:rPr>
                <w:rFonts w:ascii="Times New Roman" w:hAnsi="Times New Roman" w:cs="Times New Roman"/>
              </w:rPr>
              <w:t>Yra</w:t>
            </w:r>
            <w:proofErr w:type="spellEnd"/>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rsidR="0072157B" w:rsidRPr="0055364D" w:rsidRDefault="0055364D" w:rsidP="0055364D">
            <w:pPr>
              <w:snapToGrid w:val="0"/>
              <w:rPr>
                <w:rFonts w:ascii="Times New Roman" w:hAnsi="Times New Roman" w:cs="Times New Roman"/>
              </w:rPr>
            </w:pPr>
            <w:proofErr w:type="spellStart"/>
            <w:r w:rsidRPr="0055364D">
              <w:rPr>
                <w:rFonts w:ascii="Times New Roman" w:hAnsi="Times New Roman" w:cs="Times New Roman"/>
              </w:rPr>
              <w:t>Išrašas</w:t>
            </w:r>
            <w:proofErr w:type="spellEnd"/>
            <w:r w:rsidRPr="0055364D">
              <w:rPr>
                <w:rFonts w:ascii="Times New Roman" w:hAnsi="Times New Roman" w:cs="Times New Roman"/>
              </w:rPr>
              <w:t xml:space="preserve"> </w:t>
            </w:r>
            <w:proofErr w:type="spellStart"/>
            <w:proofErr w:type="gramStart"/>
            <w:r w:rsidRPr="0055364D">
              <w:rPr>
                <w:rFonts w:ascii="Times New Roman" w:hAnsi="Times New Roman" w:cs="Times New Roman"/>
              </w:rPr>
              <w:t>iš</w:t>
            </w:r>
            <w:proofErr w:type="spellEnd"/>
            <w:r w:rsidRPr="0055364D">
              <w:rPr>
                <w:rFonts w:ascii="Times New Roman" w:hAnsi="Times New Roman" w:cs="Times New Roman"/>
              </w:rPr>
              <w:t xml:space="preserve">  </w:t>
            </w:r>
            <w:proofErr w:type="spellStart"/>
            <w:r w:rsidRPr="0055364D">
              <w:rPr>
                <w:rFonts w:ascii="Times New Roman" w:hAnsi="Times New Roman" w:cs="Times New Roman"/>
              </w:rPr>
              <w:t>Serviso</w:t>
            </w:r>
            <w:proofErr w:type="spellEnd"/>
            <w:proofErr w:type="gramEnd"/>
            <w:r w:rsidRPr="0055364D">
              <w:rPr>
                <w:rFonts w:ascii="Times New Roman" w:hAnsi="Times New Roman" w:cs="Times New Roman"/>
              </w:rPr>
              <w:t xml:space="preserve"> Manualo_7.12psl.</w:t>
            </w:r>
          </w:p>
        </w:tc>
      </w:tr>
      <w:tr w:rsidR="0072157B" w:rsidTr="002B4FA2">
        <w:tc>
          <w:tcPr>
            <w:tcW w:w="709" w:type="dxa"/>
            <w:tcBorders>
              <w:top w:val="single" w:sz="4" w:space="0" w:color="000000"/>
              <w:left w:val="single" w:sz="4" w:space="0" w:color="000000"/>
              <w:bottom w:val="single" w:sz="4" w:space="0" w:color="000000"/>
            </w:tcBorders>
            <w:shd w:val="clear" w:color="auto" w:fill="auto"/>
          </w:tcPr>
          <w:p w:rsidR="0072157B" w:rsidRDefault="0072157B" w:rsidP="002B4FA2">
            <w:pPr>
              <w:jc w:val="center"/>
            </w:pPr>
            <w:r>
              <w:rPr>
                <w:rFonts w:ascii="Times New Roman" w:hAnsi="Times New Roman" w:cs="Times New Roman"/>
                <w:szCs w:val="22"/>
                <w:lang w:val="lt-LT"/>
              </w:rPr>
              <w:t>8.</w:t>
            </w:r>
          </w:p>
        </w:tc>
        <w:tc>
          <w:tcPr>
            <w:tcW w:w="2410" w:type="dxa"/>
            <w:tcBorders>
              <w:top w:val="single" w:sz="4" w:space="0" w:color="000000"/>
              <w:left w:val="single" w:sz="4" w:space="0" w:color="000000"/>
              <w:bottom w:val="single" w:sz="4" w:space="0" w:color="000000"/>
            </w:tcBorders>
            <w:shd w:val="clear" w:color="auto" w:fill="auto"/>
          </w:tcPr>
          <w:p w:rsidR="0072157B" w:rsidRPr="005676C4" w:rsidRDefault="0072157B" w:rsidP="002B4FA2">
            <w:r w:rsidRPr="005676C4">
              <w:rPr>
                <w:rFonts w:ascii="Times New Roman" w:hAnsi="Times New Roman" w:cs="Times New Roman"/>
                <w:szCs w:val="22"/>
                <w:lang w:val="lt-LT"/>
              </w:rPr>
              <w:t xml:space="preserve">Analizatoriaus </w:t>
            </w:r>
            <w:r w:rsidRPr="005676C4">
              <w:rPr>
                <w:rFonts w:ascii="Times New Roman" w:hAnsi="Times New Roman" w:cs="Times New Roman"/>
                <w:szCs w:val="22"/>
                <w:lang w:val="lt-LT"/>
              </w:rPr>
              <w:lastRenderedPageBreak/>
              <w:t>komunikacija</w:t>
            </w:r>
          </w:p>
        </w:tc>
        <w:tc>
          <w:tcPr>
            <w:tcW w:w="4111" w:type="dxa"/>
            <w:tcBorders>
              <w:top w:val="single" w:sz="4" w:space="0" w:color="000000"/>
              <w:left w:val="single" w:sz="4" w:space="0" w:color="000000"/>
              <w:bottom w:val="single" w:sz="4" w:space="0" w:color="000000"/>
            </w:tcBorders>
            <w:shd w:val="clear" w:color="auto" w:fill="auto"/>
          </w:tcPr>
          <w:p w:rsidR="0072157B" w:rsidRPr="005676C4" w:rsidRDefault="0072157B" w:rsidP="002B4FA2">
            <w:pPr>
              <w:ind w:left="21"/>
              <w:jc w:val="both"/>
            </w:pPr>
            <w:r w:rsidRPr="005676C4">
              <w:rPr>
                <w:rFonts w:ascii="Times New Roman" w:hAnsi="Times New Roman" w:cs="Times New Roman"/>
                <w:szCs w:val="22"/>
                <w:lang w:val="lt-LT"/>
              </w:rPr>
              <w:lastRenderedPageBreak/>
              <w:t xml:space="preserve">Analizatorius privalo turėti vienkryptę arba </w:t>
            </w:r>
            <w:r w:rsidRPr="005676C4">
              <w:rPr>
                <w:rFonts w:ascii="Times New Roman" w:hAnsi="Times New Roman" w:cs="Times New Roman"/>
                <w:szCs w:val="22"/>
                <w:lang w:val="lt-LT"/>
              </w:rPr>
              <w:lastRenderedPageBreak/>
              <w:t>dvikryptę komunikaciją su ligoninėje įdiegta informacine sistema, su laboratorijoje įdiegta informacine sistema cobas IT Middleware.</w:t>
            </w:r>
          </w:p>
        </w:tc>
        <w:tc>
          <w:tcPr>
            <w:tcW w:w="4536" w:type="dxa"/>
            <w:tcBorders>
              <w:top w:val="single" w:sz="4" w:space="0" w:color="000000"/>
              <w:left w:val="single" w:sz="4" w:space="0" w:color="000000"/>
              <w:bottom w:val="single" w:sz="4" w:space="0" w:color="000000"/>
            </w:tcBorders>
            <w:shd w:val="clear" w:color="auto" w:fill="auto"/>
          </w:tcPr>
          <w:p w:rsidR="0072157B" w:rsidRPr="002B4FA2" w:rsidRDefault="002B4FA2" w:rsidP="002B4FA2">
            <w:pPr>
              <w:snapToGrid w:val="0"/>
              <w:rPr>
                <w:rFonts w:ascii="Times New Roman" w:hAnsi="Times New Roman" w:cs="Times New Roman"/>
              </w:rPr>
            </w:pPr>
            <w:proofErr w:type="spellStart"/>
            <w:r w:rsidRPr="002B4FA2">
              <w:rPr>
                <w:rFonts w:ascii="Times New Roman" w:hAnsi="Times New Roman" w:cs="Times New Roman"/>
              </w:rPr>
              <w:lastRenderedPageBreak/>
              <w:t>Yra</w:t>
            </w:r>
            <w:proofErr w:type="spellEnd"/>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rsidR="0072157B" w:rsidRDefault="00896C11" w:rsidP="00896C11">
            <w:pPr>
              <w:snapToGrid w:val="0"/>
            </w:pPr>
            <w:r w:rsidRPr="001032F5">
              <w:rPr>
                <w:rFonts w:ascii="Times New Roman" w:hAnsi="Times New Roman" w:cs="Times New Roman"/>
              </w:rPr>
              <w:t>Orgentec Brošiūra_LT</w:t>
            </w:r>
            <w:r>
              <w:rPr>
                <w:rFonts w:ascii="Times New Roman" w:hAnsi="Times New Roman" w:cs="Times New Roman"/>
              </w:rPr>
              <w:t>_8.3psl.</w:t>
            </w:r>
          </w:p>
        </w:tc>
      </w:tr>
    </w:tbl>
    <w:p w:rsidR="0072157B" w:rsidRDefault="0072157B" w:rsidP="0072157B">
      <w:pPr>
        <w:jc w:val="both"/>
        <w:rPr>
          <w:rFonts w:ascii="Times New Roman" w:hAnsi="Times New Roman" w:cs="Times New Roman"/>
          <w:sz w:val="24"/>
          <w:szCs w:val="24"/>
          <w:lang w:val="pt-BR"/>
        </w:rPr>
      </w:pPr>
    </w:p>
    <w:p w:rsidR="0072157B" w:rsidRPr="00CE18DF" w:rsidRDefault="0072157B" w:rsidP="0072157B">
      <w:pPr>
        <w:jc w:val="both"/>
        <w:rPr>
          <w:lang w:val="lt-LT"/>
        </w:rPr>
      </w:pPr>
      <w:r w:rsidRPr="00CE18DF">
        <w:rPr>
          <w:rFonts w:ascii="Times New Roman" w:hAnsi="Times New Roman" w:cs="Times New Roman"/>
          <w:szCs w:val="22"/>
          <w:lang w:val="lt-LT"/>
        </w:rPr>
        <w:t>- Įranga turi būti ne senesnė nei 4 metai nuo pagaminimo datos, sertifikuota naudojimui Europos Sąjungoje, pažymėta CE žyme.</w:t>
      </w:r>
    </w:p>
    <w:p w:rsidR="0072157B" w:rsidRPr="00CE18DF" w:rsidRDefault="0072157B" w:rsidP="0072157B">
      <w:pPr>
        <w:rPr>
          <w:lang w:val="lt-LT"/>
        </w:rPr>
      </w:pPr>
      <w:r w:rsidRPr="00CE18DF">
        <w:rPr>
          <w:rFonts w:ascii="Times New Roman" w:hAnsi="Times New Roman" w:cs="Times New Roman"/>
          <w:szCs w:val="22"/>
          <w:lang w:val="lt-LT"/>
        </w:rPr>
        <w:t xml:space="preserve">-Tiekėjas turi instaliuoti analizatorių ir paruošti darbui bei </w:t>
      </w:r>
      <w:r w:rsidRPr="00CE18DF">
        <w:rPr>
          <w:rFonts w:ascii="Times New Roman" w:hAnsi="Times New Roman" w:cs="Times New Roman"/>
          <w:szCs w:val="22"/>
          <w:lang w:val="lt-LT" w:eastAsia="lt-LT"/>
        </w:rPr>
        <w:t>kompetentingas specialistas, turintis kompetenciją įrodantį dokumentą, apmoko personalą naudotis įranga.</w:t>
      </w:r>
    </w:p>
    <w:p w:rsidR="0072157B" w:rsidRPr="00CE18DF" w:rsidRDefault="0072157B" w:rsidP="0072157B">
      <w:pPr>
        <w:rPr>
          <w:lang w:val="lt-LT"/>
        </w:rPr>
      </w:pPr>
      <w:r w:rsidRPr="00CE18DF">
        <w:rPr>
          <w:rFonts w:ascii="Times New Roman" w:hAnsi="Times New Roman" w:cs="Times New Roman"/>
          <w:szCs w:val="22"/>
          <w:lang w:val="lt-LT" w:eastAsia="lt-LT"/>
        </w:rPr>
        <w:t xml:space="preserve"> </w:t>
      </w:r>
      <w:r w:rsidRPr="00CE18DF">
        <w:rPr>
          <w:rFonts w:ascii="Times New Roman" w:hAnsi="Times New Roman" w:cs="Times New Roman"/>
          <w:szCs w:val="22"/>
          <w:lang w:val="lt-LT"/>
        </w:rPr>
        <w:t>- Tyrimų pavadinimai nurodyti tyrimų techninės specifikacijos projekte.</w:t>
      </w:r>
    </w:p>
    <w:p w:rsidR="0072157B" w:rsidRPr="006853EE" w:rsidRDefault="0072157B" w:rsidP="0072157B">
      <w:pPr>
        <w:rPr>
          <w:lang w:val="lt-LT"/>
        </w:rPr>
      </w:pPr>
      <w:r>
        <w:rPr>
          <w:rFonts w:ascii="Times New Roman" w:hAnsi="Times New Roman" w:cs="Times New Roman"/>
          <w:szCs w:val="22"/>
          <w:lang w:val="lt-LT"/>
        </w:rPr>
        <w:t xml:space="preserve">- Tikslus reagentų ir kitų priemonių kiekis apskaičiuojamas tyrimų skaičiui nurodytam tyrimų specifikacijoje. </w:t>
      </w:r>
    </w:p>
    <w:p w:rsidR="0072157B" w:rsidRPr="006853EE" w:rsidRDefault="0072157B" w:rsidP="0072157B">
      <w:pPr>
        <w:rPr>
          <w:lang w:val="lt-LT"/>
        </w:rPr>
      </w:pPr>
      <w:r>
        <w:rPr>
          <w:rFonts w:ascii="Times New Roman" w:hAnsi="Times New Roman" w:cs="Times New Roman"/>
          <w:szCs w:val="22"/>
          <w:lang w:val="lt-LT"/>
        </w:rPr>
        <w:t>- Tyrimo priemones reikalingas tiksliniam tyrimui atlikti tiekėjai privalo nurodyti patys, užpildydami specifikacijoje pateiktas lenteles, nebūtinai vadovaujantis tuo kas dalinai nurodyta specifikacijoje, tačiau būtina nurodyti visą spektrą priemonių užtikrinančių kokybišką tyrimo atlikimą.</w:t>
      </w:r>
    </w:p>
    <w:p w:rsidR="0072157B" w:rsidRPr="006853EE" w:rsidRDefault="0072157B" w:rsidP="0072157B">
      <w:pPr>
        <w:jc w:val="both"/>
        <w:rPr>
          <w:lang w:val="lt-LT"/>
        </w:rPr>
      </w:pPr>
      <w:r>
        <w:rPr>
          <w:rFonts w:ascii="Times New Roman" w:hAnsi="Times New Roman" w:cs="Times New Roman"/>
          <w:szCs w:val="22"/>
          <w:lang w:val="lt-LT"/>
        </w:rPr>
        <w:t>- Pateikti reikalingą reagentų ir kontrolinių medžiagų (atliekant kasdieninę 2-jų lygių kokybės kontrolę) kiekį, numatomą nurodytam tyrimų kiekiui per 36 mėn. atlikti.</w:t>
      </w:r>
    </w:p>
    <w:p w:rsidR="00505389" w:rsidRPr="0072157B" w:rsidRDefault="00505389">
      <w:pPr>
        <w:rPr>
          <w:lang w:val="lt-LT"/>
        </w:rPr>
      </w:pPr>
    </w:p>
    <w:sectPr w:rsidR="00505389" w:rsidRPr="0072157B" w:rsidSect="002B4FA2">
      <w:pgSz w:w="16838" w:h="11906" w:orient="landscape"/>
      <w:pgMar w:top="720" w:right="720" w:bottom="720" w:left="720"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Liberation Sans">
    <w:altName w:val="Arial"/>
    <w:charset w:val="BA"/>
    <w:family w:val="roman"/>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rawingGridHorizontalSpacing w:val="110"/>
  <w:displayHorizontalDrawingGridEvery w:val="2"/>
  <w:characterSpacingControl w:val="doNotCompress"/>
  <w:compat/>
  <w:rsids>
    <w:rsidRoot w:val="0072157B"/>
    <w:rsid w:val="00094518"/>
    <w:rsid w:val="001032F5"/>
    <w:rsid w:val="002B4FA2"/>
    <w:rsid w:val="00505389"/>
    <w:rsid w:val="0055364D"/>
    <w:rsid w:val="0072157B"/>
    <w:rsid w:val="00896C11"/>
    <w:rsid w:val="00CE6672"/>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57B"/>
    <w:pPr>
      <w:suppressAutoHyphens/>
      <w:spacing w:after="0" w:line="240" w:lineRule="auto"/>
    </w:pPr>
    <w:rPr>
      <w:rFonts w:ascii="Arial" w:eastAsia="Times New Roman" w:hAnsi="Arial" w:cs="Arial"/>
      <w:szCs w:val="20"/>
      <w:lang w:val="en-US" w:eastAsia="zh-CN"/>
    </w:rPr>
  </w:style>
  <w:style w:type="paragraph" w:styleId="Heading1">
    <w:name w:val="heading 1"/>
    <w:basedOn w:val="Normal"/>
    <w:next w:val="Normal"/>
    <w:link w:val="Heading1Char"/>
    <w:qFormat/>
    <w:rsid w:val="0072157B"/>
    <w:pPr>
      <w:keepNext/>
      <w:numPr>
        <w:numId w:val="1"/>
      </w:numPr>
      <w:jc w:val="center"/>
      <w:outlineLvl w:val="0"/>
    </w:pPr>
    <w:rPr>
      <w:b/>
      <w:bCs/>
    </w:rPr>
  </w:style>
  <w:style w:type="paragraph" w:styleId="Heading2">
    <w:name w:val="heading 2"/>
    <w:basedOn w:val="Normal"/>
    <w:next w:val="Normal"/>
    <w:link w:val="Heading2Char"/>
    <w:qFormat/>
    <w:rsid w:val="0072157B"/>
    <w:pPr>
      <w:keepNext/>
      <w:numPr>
        <w:ilvl w:val="1"/>
        <w:numId w:val="1"/>
      </w:numPr>
      <w:outlineLvl w:val="1"/>
    </w:pPr>
    <w:rPr>
      <w:b/>
      <w:bCs/>
    </w:rPr>
  </w:style>
  <w:style w:type="paragraph" w:styleId="Heading3">
    <w:name w:val="heading 3"/>
    <w:basedOn w:val="Normal"/>
    <w:next w:val="BodyText"/>
    <w:link w:val="Heading3Char"/>
    <w:qFormat/>
    <w:rsid w:val="0072157B"/>
    <w:pPr>
      <w:keepNext/>
      <w:numPr>
        <w:ilvl w:val="2"/>
        <w:numId w:val="1"/>
      </w:numPr>
      <w:spacing w:before="140" w:after="120"/>
      <w:outlineLvl w:val="2"/>
    </w:pPr>
    <w:rPr>
      <w:rFonts w:ascii="Liberation Sans" w:eastAsia="Microsoft YaHei" w:hAnsi="Liberation Sans" w:cs="Mang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157B"/>
    <w:rPr>
      <w:rFonts w:ascii="Arial" w:eastAsia="Times New Roman" w:hAnsi="Arial" w:cs="Arial"/>
      <w:b/>
      <w:bCs/>
      <w:szCs w:val="20"/>
      <w:lang w:val="en-US" w:eastAsia="zh-CN"/>
    </w:rPr>
  </w:style>
  <w:style w:type="character" w:customStyle="1" w:styleId="Heading2Char">
    <w:name w:val="Heading 2 Char"/>
    <w:basedOn w:val="DefaultParagraphFont"/>
    <w:link w:val="Heading2"/>
    <w:rsid w:val="0072157B"/>
    <w:rPr>
      <w:rFonts w:ascii="Arial" w:eastAsia="Times New Roman" w:hAnsi="Arial" w:cs="Arial"/>
      <w:b/>
      <w:bCs/>
      <w:szCs w:val="20"/>
      <w:lang w:val="en-US" w:eastAsia="zh-CN"/>
    </w:rPr>
  </w:style>
  <w:style w:type="character" w:customStyle="1" w:styleId="Heading3Char">
    <w:name w:val="Heading 3 Char"/>
    <w:basedOn w:val="DefaultParagraphFont"/>
    <w:link w:val="Heading3"/>
    <w:rsid w:val="0072157B"/>
    <w:rPr>
      <w:rFonts w:ascii="Liberation Sans" w:eastAsia="Microsoft YaHei" w:hAnsi="Liberation Sans" w:cs="Mangal"/>
      <w:b/>
      <w:bCs/>
      <w:sz w:val="28"/>
      <w:szCs w:val="28"/>
      <w:lang w:val="en-US" w:eastAsia="zh-CN"/>
    </w:rPr>
  </w:style>
  <w:style w:type="paragraph" w:customStyle="1" w:styleId="Numatytasis">
    <w:name w:val="Numatytasis"/>
    <w:rsid w:val="0072157B"/>
    <w:pPr>
      <w:suppressAutoHyphens/>
      <w:spacing w:after="0" w:line="100" w:lineRule="atLeast"/>
      <w:textAlignment w:val="baseline"/>
    </w:pPr>
    <w:rPr>
      <w:rFonts w:ascii="Times New Roman" w:eastAsia="Times New Roman" w:hAnsi="Times New Roman" w:cs="Times New Roman"/>
      <w:color w:val="00000A"/>
      <w:sz w:val="24"/>
      <w:szCs w:val="24"/>
      <w:lang w:eastAsia="zh-CN"/>
    </w:rPr>
  </w:style>
  <w:style w:type="paragraph" w:styleId="BodyText">
    <w:name w:val="Body Text"/>
    <w:basedOn w:val="Normal"/>
    <w:link w:val="BodyTextChar"/>
    <w:uiPriority w:val="99"/>
    <w:semiHidden/>
    <w:unhideWhenUsed/>
    <w:rsid w:val="0072157B"/>
    <w:pPr>
      <w:spacing w:after="120"/>
    </w:pPr>
  </w:style>
  <w:style w:type="character" w:customStyle="1" w:styleId="BodyTextChar">
    <w:name w:val="Body Text Char"/>
    <w:basedOn w:val="DefaultParagraphFont"/>
    <w:link w:val="BodyText"/>
    <w:uiPriority w:val="99"/>
    <w:semiHidden/>
    <w:rsid w:val="0072157B"/>
    <w:rPr>
      <w:rFonts w:ascii="Arial" w:eastAsia="Times New Roman" w:hAnsi="Arial" w:cs="Arial"/>
      <w:szCs w:val="20"/>
      <w:lang w:val="en-US"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1873</Words>
  <Characters>1068</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Kleveckaite</dc:creator>
  <cp:lastModifiedBy>Kleveckaite</cp:lastModifiedBy>
  <cp:revision>3</cp:revision>
  <dcterms:created xsi:type="dcterms:W3CDTF">2019-09-25T08:06:00Z</dcterms:created>
  <dcterms:modified xsi:type="dcterms:W3CDTF">2019-09-25T09:21:00Z</dcterms:modified>
</cp:coreProperties>
</file>