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625E5A0F" w:rsidR="00F078CD" w:rsidRPr="006807E1" w:rsidRDefault="00723277" w:rsidP="00D07E69">
      <w:pPr>
        <w:contextualSpacing/>
        <w:rPr>
          <w:lang w:val="lt-LT"/>
        </w:rPr>
      </w:pPr>
      <w:bookmarkStart w:id="0" w:name="_GoBack"/>
      <w:bookmarkEnd w:id="0"/>
      <w:r w:rsidRPr="006807E1">
        <w:rPr>
          <w:b/>
          <w:lang w:val="lt-LT"/>
        </w:rPr>
        <w:tab/>
      </w:r>
      <w:r w:rsidRPr="006807E1">
        <w:rPr>
          <w:b/>
          <w:lang w:val="lt-LT"/>
        </w:rPr>
        <w:tab/>
      </w:r>
      <w:r w:rsidRPr="006807E1">
        <w:rPr>
          <w:b/>
          <w:lang w:val="lt-LT"/>
        </w:rPr>
        <w:tab/>
      </w:r>
      <w:r w:rsidRPr="006807E1">
        <w:rPr>
          <w:b/>
          <w:lang w:val="lt-LT"/>
        </w:rPr>
        <w:tab/>
      </w:r>
      <w:r w:rsidRPr="006807E1">
        <w:rPr>
          <w:b/>
          <w:lang w:val="lt-LT"/>
        </w:rPr>
        <w:tab/>
      </w:r>
      <w:r w:rsidRPr="006807E1">
        <w:rPr>
          <w:b/>
          <w:lang w:val="lt-LT"/>
        </w:rPr>
        <w:tab/>
      </w:r>
      <w:r w:rsidRPr="006807E1">
        <w:rPr>
          <w:b/>
          <w:lang w:val="lt-LT"/>
        </w:rPr>
        <w:tab/>
        <w:t xml:space="preserve">        </w:t>
      </w:r>
      <w:r w:rsidR="0045017C" w:rsidRPr="006807E1">
        <w:rPr>
          <w:lang w:val="lt-LT"/>
        </w:rPr>
        <w:t>2019</w:t>
      </w:r>
      <w:r w:rsidR="005C3DF4" w:rsidRPr="006807E1">
        <w:rPr>
          <w:lang w:val="lt-LT"/>
        </w:rPr>
        <w:t xml:space="preserve"> m.</w:t>
      </w:r>
      <w:r w:rsidR="0098035A" w:rsidRPr="006807E1">
        <w:rPr>
          <w:lang w:val="lt-LT"/>
        </w:rPr>
        <w:t xml:space="preserve">     </w:t>
      </w:r>
      <w:r w:rsidR="00891BC8" w:rsidRPr="006807E1">
        <w:rPr>
          <w:lang w:val="lt-LT"/>
        </w:rPr>
        <w:t xml:space="preserve">  </w:t>
      </w:r>
      <w:r w:rsidR="0098035A" w:rsidRPr="006807E1">
        <w:rPr>
          <w:lang w:val="lt-LT"/>
        </w:rPr>
        <w:t xml:space="preserve"> </w:t>
      </w:r>
      <w:r w:rsidR="00DE1CB7" w:rsidRPr="006807E1">
        <w:rPr>
          <w:lang w:val="lt-LT"/>
        </w:rPr>
        <w:t xml:space="preserve">    </w:t>
      </w:r>
      <w:r w:rsidR="0098035A" w:rsidRPr="006807E1">
        <w:rPr>
          <w:lang w:val="lt-LT"/>
        </w:rPr>
        <w:t xml:space="preserve">                </w:t>
      </w:r>
      <w:r w:rsidR="000A5002" w:rsidRPr="006807E1">
        <w:rPr>
          <w:lang w:val="lt-LT"/>
        </w:rPr>
        <w:t xml:space="preserve">  </w:t>
      </w:r>
      <w:r w:rsidR="00F078CD" w:rsidRPr="006807E1">
        <w:rPr>
          <w:lang w:val="lt-LT"/>
        </w:rPr>
        <w:t xml:space="preserve">    d.</w:t>
      </w:r>
    </w:p>
    <w:p w14:paraId="6361BEB4" w14:textId="70817DED" w:rsidR="005A42D7" w:rsidRPr="006807E1" w:rsidRDefault="005A42D7" w:rsidP="00D07E69">
      <w:pPr>
        <w:contextualSpacing/>
        <w:rPr>
          <w:bCs/>
          <w:lang w:val="lt-LT"/>
        </w:rPr>
      </w:pPr>
      <w:r w:rsidRPr="006807E1">
        <w:rPr>
          <w:b/>
          <w:lang w:val="lt-LT"/>
        </w:rPr>
        <w:t xml:space="preserve">                                                               </w:t>
      </w:r>
      <w:r w:rsidR="00723277" w:rsidRPr="006807E1">
        <w:rPr>
          <w:b/>
          <w:lang w:val="lt-LT"/>
        </w:rPr>
        <w:t xml:space="preserve">                             </w:t>
      </w:r>
      <w:r w:rsidR="009C25B6" w:rsidRPr="006807E1">
        <w:rPr>
          <w:lang w:val="lt-LT"/>
        </w:rPr>
        <w:t>Paslaug</w:t>
      </w:r>
      <w:r w:rsidR="00912C5E" w:rsidRPr="006807E1">
        <w:rPr>
          <w:lang w:val="lt-LT"/>
        </w:rPr>
        <w:t xml:space="preserve">ų viešojo pirkimo-pardavimo </w:t>
      </w:r>
      <w:r w:rsidR="00891BC8" w:rsidRPr="006807E1">
        <w:rPr>
          <w:lang w:val="lt-LT"/>
        </w:rPr>
        <w:t xml:space="preserve"> </w:t>
      </w:r>
      <w:r w:rsidR="00912C5E" w:rsidRPr="006807E1">
        <w:rPr>
          <w:lang w:val="lt-LT"/>
        </w:rPr>
        <w:tab/>
      </w:r>
      <w:r w:rsidR="00912C5E" w:rsidRPr="006807E1">
        <w:rPr>
          <w:lang w:val="lt-LT"/>
        </w:rPr>
        <w:tab/>
      </w:r>
      <w:r w:rsidR="00912C5E" w:rsidRPr="006807E1">
        <w:rPr>
          <w:lang w:val="lt-LT"/>
        </w:rPr>
        <w:tab/>
      </w:r>
      <w:r w:rsidR="00912C5E" w:rsidRPr="006807E1">
        <w:rPr>
          <w:lang w:val="lt-LT"/>
        </w:rPr>
        <w:tab/>
      </w:r>
      <w:r w:rsidR="00912C5E" w:rsidRPr="006807E1">
        <w:rPr>
          <w:lang w:val="lt-LT"/>
        </w:rPr>
        <w:tab/>
      </w:r>
      <w:r w:rsidR="00912C5E" w:rsidRPr="006807E1">
        <w:rPr>
          <w:lang w:val="lt-LT"/>
        </w:rPr>
        <w:tab/>
      </w:r>
      <w:r w:rsidR="00912C5E" w:rsidRPr="006807E1">
        <w:rPr>
          <w:lang w:val="lt-LT"/>
        </w:rPr>
        <w:tab/>
        <w:t xml:space="preserve">                    </w:t>
      </w:r>
      <w:r w:rsidR="00891BC8" w:rsidRPr="006807E1">
        <w:rPr>
          <w:lang w:val="lt-LT"/>
        </w:rPr>
        <w:t>sutarties Nr.</w:t>
      </w:r>
    </w:p>
    <w:p w14:paraId="3E1B2BBE" w14:textId="3D281208" w:rsidR="001226D6" w:rsidRPr="006807E1" w:rsidRDefault="005A42D7" w:rsidP="00D07E69">
      <w:pPr>
        <w:rPr>
          <w:lang w:val="lt-LT"/>
        </w:rPr>
      </w:pPr>
      <w:r w:rsidRPr="006807E1">
        <w:rPr>
          <w:lang w:val="lt-LT"/>
        </w:rPr>
        <w:t xml:space="preserve">                                                               </w:t>
      </w:r>
      <w:r w:rsidR="00723277" w:rsidRPr="006807E1">
        <w:rPr>
          <w:lang w:val="lt-LT"/>
        </w:rPr>
        <w:t xml:space="preserve">                             </w:t>
      </w:r>
      <w:r w:rsidR="00530746" w:rsidRPr="006807E1">
        <w:rPr>
          <w:lang w:val="lt-LT"/>
        </w:rPr>
        <w:t xml:space="preserve">1 </w:t>
      </w:r>
      <w:r w:rsidR="00587CF8" w:rsidRPr="006807E1">
        <w:rPr>
          <w:lang w:val="lt-LT"/>
        </w:rPr>
        <w:t>priedas</w:t>
      </w:r>
    </w:p>
    <w:p w14:paraId="378A6C3B" w14:textId="77777777" w:rsidR="00D07E69" w:rsidRPr="006807E1" w:rsidRDefault="00D07E69" w:rsidP="00D20DA5">
      <w:pPr>
        <w:tabs>
          <w:tab w:val="left" w:pos="1296"/>
        </w:tabs>
        <w:jc w:val="center"/>
        <w:rPr>
          <w:b/>
          <w:caps/>
          <w:lang w:val="lt-LT"/>
        </w:rPr>
      </w:pPr>
    </w:p>
    <w:p w14:paraId="6932874D" w14:textId="77777777" w:rsidR="002D74DD" w:rsidRPr="006807E1" w:rsidRDefault="002D74DD" w:rsidP="002D74DD">
      <w:pPr>
        <w:pBdr>
          <w:bar w:val="single" w:sz="4" w:color="auto"/>
        </w:pBdr>
        <w:jc w:val="center"/>
        <w:rPr>
          <w:b/>
          <w:bCs/>
          <w:szCs w:val="20"/>
          <w:lang w:val="lt-LT"/>
        </w:rPr>
      </w:pPr>
      <w:r w:rsidRPr="006807E1">
        <w:rPr>
          <w:b/>
          <w:bCs/>
          <w:szCs w:val="20"/>
          <w:lang w:val="lt-LT"/>
        </w:rPr>
        <w:t>TECHNINĖ SPECIFIKACIJA</w:t>
      </w:r>
    </w:p>
    <w:p w14:paraId="527D7DDF" w14:textId="77777777" w:rsidR="002D74DD" w:rsidRPr="003D6A9D" w:rsidRDefault="002D74DD" w:rsidP="003D6A9D">
      <w:pPr>
        <w:tabs>
          <w:tab w:val="left" w:pos="567"/>
        </w:tabs>
        <w:rPr>
          <w:b/>
          <w:lang w:val="lt-LT"/>
        </w:rPr>
      </w:pPr>
    </w:p>
    <w:p w14:paraId="73E7C707" w14:textId="77777777" w:rsidR="003D6A9D" w:rsidRPr="003D6A9D" w:rsidRDefault="003D6A9D" w:rsidP="003D6A9D">
      <w:pPr>
        <w:autoSpaceDE w:val="0"/>
        <w:autoSpaceDN w:val="0"/>
        <w:adjustRightInd w:val="0"/>
        <w:spacing w:before="240" w:after="240"/>
        <w:jc w:val="center"/>
        <w:rPr>
          <w:rFonts w:eastAsia="Calibri"/>
          <w:b/>
          <w:lang w:val="lt"/>
        </w:rPr>
      </w:pPr>
      <w:r w:rsidRPr="003D6A9D">
        <w:rPr>
          <w:rFonts w:eastAsia="Calibri"/>
          <w:b/>
          <w:lang w:val="lt"/>
        </w:rPr>
        <w:t>PASLAUGŲ PAGRINDIMAS</w:t>
      </w:r>
    </w:p>
    <w:p w14:paraId="1DCB4218" w14:textId="77777777" w:rsidR="003D6A9D" w:rsidRPr="003D6A9D" w:rsidRDefault="003D6A9D" w:rsidP="003D6A9D">
      <w:pPr>
        <w:ind w:firstLine="851"/>
        <w:jc w:val="both"/>
        <w:rPr>
          <w:lang w:val="lt"/>
        </w:rPr>
      </w:pPr>
      <w:r w:rsidRPr="003D6A9D">
        <w:rPr>
          <w:lang w:val="lt"/>
        </w:rPr>
        <w:t>Vidaus reikalų ministerija įgyvendina iš Europos Sąjungos struktūrinių fondų lėšų bendrai finansuojamą projektą Nr. 10.1.3-ESFA-V-918-01-0014 „Viešojo sektoriaus įstaigų teikiamų paslaugų ir gyventojų aptarnavimo kokybės gerinimo sprendimai“ (2019 m. birželio 20 d. Iš Europos Sąjungos struktūrinių fondų lėšų bendrai finansuojamo projekto Nr. 10.1.3-ESFA-V-918-01-0014 V-918-01-0014 ,,Viešojo sektoriaus įstaigų teikiamų paslaugų ir gyventojų aptarnavimo kokybės gerinimo sprendimai“ sutartis Nr. 10.1.3-ESFA-V-918-01-0014/1S-222). Paslaugos bus apmokamos iš šiam projektui įgyvendinti skirtų lėšų.</w:t>
      </w:r>
    </w:p>
    <w:p w14:paraId="19B35196" w14:textId="77777777" w:rsidR="003D6A9D" w:rsidRPr="003D6A9D" w:rsidRDefault="003D6A9D" w:rsidP="003D6A9D">
      <w:pPr>
        <w:ind w:firstLine="851"/>
        <w:jc w:val="both"/>
        <w:rPr>
          <w:b/>
          <w:lang w:val="lt-LT"/>
        </w:rPr>
      </w:pPr>
    </w:p>
    <w:p w14:paraId="0F4DAA2F" w14:textId="77777777" w:rsidR="003D6A9D" w:rsidRPr="003D6A9D" w:rsidRDefault="003D6A9D" w:rsidP="003D6A9D">
      <w:pPr>
        <w:autoSpaceDE w:val="0"/>
        <w:autoSpaceDN w:val="0"/>
        <w:adjustRightInd w:val="0"/>
        <w:spacing w:before="240" w:after="240"/>
        <w:jc w:val="center"/>
        <w:rPr>
          <w:rFonts w:eastAsia="Calibri"/>
          <w:b/>
          <w:lang w:val="lt"/>
        </w:rPr>
      </w:pPr>
      <w:r w:rsidRPr="003D6A9D">
        <w:rPr>
          <w:rFonts w:eastAsia="Calibri"/>
          <w:b/>
          <w:lang w:val="lt"/>
        </w:rPr>
        <w:t>PIRKIMO OBJEKTAS</w:t>
      </w:r>
    </w:p>
    <w:p w14:paraId="31867383"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 xml:space="preserve">Paslaugų vartotojai ir aptarnaujami gyventojai turi būti informuoti apie viešojo sektoriaus įstaigų (toliau – įstaigos) įsipareigojimus, kuriais remiantis siekiama geresnės paslaugų teikimo ir asmenų aptarnavimo (toliau – aptarnavimas) kokybės. </w:t>
      </w:r>
      <w:r w:rsidRPr="003D6A9D">
        <w:rPr>
          <w:rFonts w:eastAsia="Calibri"/>
          <w:lang w:val="lt-LT"/>
        </w:rPr>
        <w:t xml:space="preserve">Aptarnavimas – tai įstaigos darbuotojo veiksmai, pradedant asmens sutikimu (kai kreipiasi tiesiogiai) ar kreipimosi gavimu (kai gaunama kitomis priemonėmis) ir baigiant paslaugos/informacijos suteikimu: asmens sutikimas ir pirmojo kontakto užmezgimas; asmens išklausymas; susipažinimas su prašymo/ skundo ir pateiktų dokumentų turiniu; informavimas apie paslaugos suteikimo eigą; prireikus prašymo įforminimas raštu; prašymo/skundo įregistravimas ir perdavimas vykdymui; prireikus asmens informavimas apie prašymo/skundo nagrinėjimo eigą; priėmimo pas įstaigos vadovą ar kompetentingą valstybės tarnautoją organizavimas ir kiti reikalingi veiksmai. Tik informuojant asmenis </w:t>
      </w:r>
      <w:r w:rsidRPr="003D6A9D">
        <w:rPr>
          <w:rFonts w:eastAsia="Calibri"/>
          <w:shd w:val="clear" w:color="auto" w:fill="FFFFFF"/>
          <w:lang w:val="lt-LT"/>
        </w:rPr>
        <w:t xml:space="preserve">yra užtikrinami asmenų teisėti lūkesčiai tikėtis įstaigų viešai deklaruotos aptarnavimo kokybės. </w:t>
      </w:r>
    </w:p>
    <w:p w14:paraId="0E0A4967" w14:textId="77777777" w:rsidR="003D6A9D" w:rsidRPr="003D6A9D" w:rsidRDefault="003D6A9D" w:rsidP="003D6A9D">
      <w:pPr>
        <w:ind w:firstLine="851"/>
        <w:jc w:val="both"/>
        <w:rPr>
          <w:rFonts w:eastAsia="Calibri"/>
          <w:shd w:val="clear" w:color="auto" w:fill="FFFFFF"/>
          <w:lang w:val="lt-LT"/>
        </w:rPr>
      </w:pPr>
      <w:r w:rsidRPr="003D6A9D">
        <w:rPr>
          <w:rFonts w:eastAsia="Calibri"/>
          <w:lang w:val="lt-LT"/>
        </w:rPr>
        <w:t xml:space="preserve">Nuostatos, kurių įstaigos privalo laikytis aptarnaudamos asmenis </w:t>
      </w:r>
      <w:r w:rsidRPr="003D6A9D">
        <w:rPr>
          <w:rFonts w:eastAsia="Calibri"/>
          <w:shd w:val="clear" w:color="auto" w:fill="FFFFFF"/>
          <w:lang w:val="lt-LT"/>
        </w:rPr>
        <w:t xml:space="preserve">yra įtvirtintos skirtingos teisinės galios teisės aktuose (įstatymuose, Vyriausybės nutarimuose, ministrų įsakymuose, įstaigų vadovų įsakymuose ir kt.). Įstaigos nors ir laikosi šiuose teisės aktuose įtvirtintų nuostatų, reta iš jų teikia informaciją gyventojams apie pagrindinius aptarnavimo kokybės parametrus ir skelbia savo įsipareigojimus dėl jų laikymosi. Nesant nustatytų ir viešai skelbiamų aptarnavimo </w:t>
      </w:r>
      <w:r w:rsidRPr="003D6A9D">
        <w:rPr>
          <w:rFonts w:eastAsia="Calibri"/>
          <w:shd w:val="clear" w:color="auto" w:fill="FFFFFF"/>
          <w:lang w:val="lt-LT"/>
        </w:rPr>
        <w:lastRenderedPageBreak/>
        <w:t>kokybės parametrų ir įstaigų įsipareigojimų dėl jų laikymosi, gyventojams dažnai sunku suvokti savo lūkesčius dėl aptarnavimo kokybės, t. y. jiems nėra aišku, kokios aptarnavimo kokybės jie gali tikėtis ir reikalauti iš įstaigų.</w:t>
      </w:r>
    </w:p>
    <w:p w14:paraId="3BAE9B9B"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 xml:space="preserve">Vienas iš tokio informavimo būdų – aptarnavimo standarto (standartas) parengimas. Standartas – tai elgesio principų ir pavyzdžių rinkinys, kuris apima visas įstaigai aktualias aptarnavimo proceso dalis. Standarto nauda įstaigai yra ta, kad jis ne tik informuoja asmenis apie įstaigos prisiimtus įsipareigojimus dėl aptarnavimo kokybės, bet ir padeda suvienodinti įstaigos darbuotojų žinias apie tai, ką ir kaip derėtų daryti, kas yra nepriimtina, aptarnaujant į įstaigą besikreipiančius asmenis, ir atitinkamai nukreipti įstaigos darbuotojų elgesį norima linkme. Tai yra galimybė supažindinti darbuotojus su asmenų aptarnavimo kultūra, įstaigos vertybėmis, suformuluoti, užfiksuoti ir perteikti įstaigos darbuotojams norimo aptarnavimo gaires. Be to, standartas taip pat yra ir aptarnavimo kokybės vertinimo priemonė, kuri leidžia palyginti esamą aptarnavimo įstaigoje lygį su siekiamu. Kai visa tai yra pakankamai aiškiai apibrėžta, galima lengviau pamatuoti ir įvertinti aptarnavimo kokybę, tiksliau įsivardinti stipriuosius ir tobulintinus aptarnavimo aspektus, priimti įrodymais pagrįstus sprendimus dėl aptarnavimo gerinimo priemonių ir kt. </w:t>
      </w:r>
    </w:p>
    <w:p w14:paraId="34946313" w14:textId="39FC07E0"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Siekiant paskatinti įstaigas įgyvendinti apta</w:t>
      </w:r>
      <w:r>
        <w:rPr>
          <w:rFonts w:eastAsia="Calibri"/>
          <w:shd w:val="clear" w:color="auto" w:fill="FFFFFF"/>
          <w:lang w:val="lt-LT"/>
        </w:rPr>
        <w:t>rnavimo gerinimo iniciatyvas ir</w:t>
      </w:r>
      <w:r w:rsidRPr="003D6A9D">
        <w:rPr>
          <w:rFonts w:eastAsia="Calibri"/>
          <w:shd w:val="clear" w:color="auto" w:fill="FFFFFF"/>
          <w:lang w:val="lt-LT"/>
        </w:rPr>
        <w:t xml:space="preserve"> formuoti bendrą asmenų informavimo apie įstaigų įsipareigojimus aptarnavimo srityje ir  standartų nustatymo praktiką viešajame sektoriuje, tikslinga parengti </w:t>
      </w:r>
      <w:r w:rsidRPr="003D6A9D">
        <w:rPr>
          <w:rFonts w:eastAsia="Calibri"/>
          <w:lang w:val="lt-LT"/>
        </w:rPr>
        <w:t>pavyzdinį standartą ir, atsižvelgiant į konkrečių įstaigų specifiką, jį pritaikyti (adaptuoti) šiose įstaigose.</w:t>
      </w:r>
    </w:p>
    <w:p w14:paraId="3BA99A9B"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Standarto parengimas apimtų šiuos etapus: (I) situacijos analizę; (II) standarto turinio parengimą; (III) standarto vertinimo (rodiklių) sistemos sukūrimą; (IV) ugdymo, mokymo ir motyvavimo sistemos sukūrimą; (V) standarto viešinimo plano parengimą; (V) nuolatinio tobulinimo veiksmų plano parengimą. Standarto parengimas būtų vykdomas įtraukiant į įstaigos darbuotojus į jo kūrimo veiklas.</w:t>
      </w:r>
    </w:p>
    <w:p w14:paraId="749D09D1" w14:textId="77777777" w:rsidR="003D6A9D" w:rsidRPr="003D6A9D" w:rsidRDefault="003D6A9D" w:rsidP="003D6A9D">
      <w:pPr>
        <w:ind w:firstLine="851"/>
        <w:jc w:val="both"/>
        <w:rPr>
          <w:rFonts w:eastAsia="Calibri"/>
          <w:lang w:val="lt-LT"/>
        </w:rPr>
      </w:pPr>
      <w:r w:rsidRPr="003D6A9D">
        <w:rPr>
          <w:rFonts w:eastAsia="Calibri"/>
          <w:shd w:val="clear" w:color="auto" w:fill="FFFFFF"/>
          <w:lang w:val="lt-LT"/>
        </w:rPr>
        <w:t>Atsižvelgiant į tai, p</w:t>
      </w:r>
      <w:r w:rsidRPr="003D6A9D">
        <w:rPr>
          <w:rFonts w:eastAsia="Calibri"/>
          <w:lang w:val="lt-LT"/>
        </w:rPr>
        <w:t>erkamos pavyzdinio gyventojų aptarnavimo viešojo sektoriaus įstaigose standarto sukūrimo ir jo įdiegimo paslaugos:</w:t>
      </w:r>
    </w:p>
    <w:p w14:paraId="478E8B24" w14:textId="77777777" w:rsidR="003D6A9D" w:rsidRPr="003D6A9D" w:rsidRDefault="003D6A9D" w:rsidP="003D6A9D">
      <w:pPr>
        <w:ind w:firstLine="851"/>
        <w:jc w:val="both"/>
        <w:rPr>
          <w:rFonts w:eastAsia="Calibri"/>
          <w:lang w:val="lt-LT"/>
        </w:rPr>
      </w:pPr>
      <w:r w:rsidRPr="003D6A9D">
        <w:rPr>
          <w:rFonts w:eastAsia="Calibri"/>
          <w:lang w:val="lt-LT"/>
        </w:rPr>
        <w:t>1) taikomojo pobūdžio studijos „Pavyzdinis gyventojų aptarnavimo viešojo sektoriaus įstaigose standartas“ parengimas;</w:t>
      </w:r>
    </w:p>
    <w:p w14:paraId="427CB36D" w14:textId="77777777" w:rsidR="003D6A9D" w:rsidRPr="003D6A9D" w:rsidRDefault="003D6A9D" w:rsidP="003D6A9D">
      <w:pPr>
        <w:ind w:firstLine="851"/>
        <w:jc w:val="both"/>
        <w:rPr>
          <w:rFonts w:eastAsia="Calibri"/>
          <w:lang w:val="lt"/>
        </w:rPr>
      </w:pPr>
      <w:r w:rsidRPr="003D6A9D">
        <w:rPr>
          <w:rFonts w:eastAsia="Calibri"/>
          <w:lang w:val="lt-LT"/>
        </w:rPr>
        <w:t>2) pavyzdinį standarto pritaikymas (adaptavimas) konkrečiose įstaigose (Vyriausybės kanceliarijoje, ministerijose ir ministerijoms bei Vyriausybei atskaitingose viešojo sektoriaus įstaigose).</w:t>
      </w:r>
    </w:p>
    <w:p w14:paraId="44FC4426" w14:textId="77777777" w:rsidR="003D6A9D" w:rsidRPr="003D6A9D" w:rsidRDefault="003D6A9D" w:rsidP="003D6A9D">
      <w:pPr>
        <w:ind w:firstLine="851"/>
        <w:jc w:val="both"/>
        <w:rPr>
          <w:b/>
          <w:lang w:val="lt"/>
        </w:rPr>
      </w:pPr>
    </w:p>
    <w:p w14:paraId="1CCF40B2" w14:textId="77777777" w:rsidR="003D6A9D" w:rsidRDefault="003D6A9D" w:rsidP="003D6A9D">
      <w:pPr>
        <w:autoSpaceDE w:val="0"/>
        <w:autoSpaceDN w:val="0"/>
        <w:adjustRightInd w:val="0"/>
        <w:spacing w:before="240" w:after="240"/>
        <w:contextualSpacing/>
        <w:jc w:val="center"/>
        <w:rPr>
          <w:rFonts w:eastAsia="Calibri"/>
          <w:b/>
          <w:lang w:val="lt"/>
        </w:rPr>
      </w:pPr>
      <w:r w:rsidRPr="003D6A9D">
        <w:rPr>
          <w:rFonts w:eastAsia="Calibri"/>
          <w:b/>
          <w:lang w:val="lt"/>
        </w:rPr>
        <w:t>PERKAMŲ PASLAUGŲ DETALIZAVIMAS IR KELIAMI REIKALAVIMAI</w:t>
      </w:r>
    </w:p>
    <w:p w14:paraId="5DDB3049" w14:textId="77777777" w:rsidR="00333399" w:rsidRPr="003D6A9D" w:rsidRDefault="00333399" w:rsidP="003D6A9D">
      <w:pPr>
        <w:autoSpaceDE w:val="0"/>
        <w:autoSpaceDN w:val="0"/>
        <w:adjustRightInd w:val="0"/>
        <w:spacing w:before="240" w:after="240"/>
        <w:contextualSpacing/>
        <w:jc w:val="center"/>
        <w:rPr>
          <w:rFonts w:eastAsia="Calibri"/>
          <w:b/>
          <w:lang w:val="lt"/>
        </w:rPr>
      </w:pPr>
    </w:p>
    <w:p w14:paraId="55F1ACCD" w14:textId="77777777" w:rsidR="003D6A9D" w:rsidRPr="003D6A9D" w:rsidRDefault="003D6A9D" w:rsidP="003D6A9D">
      <w:pPr>
        <w:ind w:firstLine="851"/>
        <w:jc w:val="both"/>
        <w:rPr>
          <w:rFonts w:eastAsia="Calibri"/>
          <w:b/>
          <w:lang w:val="lt-LT"/>
        </w:rPr>
      </w:pPr>
      <w:r w:rsidRPr="003D6A9D">
        <w:rPr>
          <w:rFonts w:eastAsia="Calibri"/>
          <w:b/>
          <w:lang w:val="lt-LT"/>
        </w:rPr>
        <w:t>1.  Taikomojo pobūdžio studijos „Pavyzdinis gyventojų aptarnavimo viešojo sektoriaus įstaigose standartas“ parengimas.</w:t>
      </w:r>
    </w:p>
    <w:p w14:paraId="337F20E5" w14:textId="77777777" w:rsidR="003D6A9D" w:rsidRPr="003D6A9D" w:rsidRDefault="003D6A9D" w:rsidP="003D6A9D">
      <w:pPr>
        <w:ind w:firstLine="851"/>
        <w:jc w:val="both"/>
        <w:rPr>
          <w:rFonts w:eastAsia="Calibri"/>
          <w:lang w:val="lt-LT"/>
        </w:rPr>
      </w:pPr>
      <w:r w:rsidRPr="003D6A9D">
        <w:rPr>
          <w:rFonts w:eastAsia="Calibri"/>
          <w:lang w:val="lt-LT"/>
        </w:rPr>
        <w:lastRenderedPageBreak/>
        <w:t>Studija skirta: remiantis užsienio ir Lietuvos gerąja patirtimi, parengti praktiškai pritaikomą pavyzdinį gyventojų aptarnavimo</w:t>
      </w:r>
      <w:r w:rsidRPr="003D6A9D">
        <w:rPr>
          <w:rFonts w:eastAsia="Calibri"/>
          <w:b/>
          <w:lang w:val="lt-LT"/>
        </w:rPr>
        <w:t xml:space="preserve"> </w:t>
      </w:r>
      <w:r w:rsidRPr="003D6A9D">
        <w:rPr>
          <w:rFonts w:eastAsia="Calibri"/>
          <w:lang w:val="lt-LT"/>
        </w:rPr>
        <w:t xml:space="preserve">įstaigose standartą, būtiną </w:t>
      </w:r>
      <w:r w:rsidRPr="003D6A9D">
        <w:rPr>
          <w:rFonts w:eastAsia="Calibri"/>
          <w:shd w:val="clear" w:color="auto" w:fill="FFFFFF"/>
          <w:lang w:val="lt-LT"/>
        </w:rPr>
        <w:t>siekiant pagerinti paslaugų teikimo ir gyventojų aptarnavimo kokybę.</w:t>
      </w:r>
    </w:p>
    <w:p w14:paraId="2F1DC4AA" w14:textId="77777777" w:rsidR="003D6A9D" w:rsidRPr="003D6A9D" w:rsidRDefault="003D6A9D" w:rsidP="003D6A9D">
      <w:pPr>
        <w:ind w:firstLine="851"/>
        <w:jc w:val="both"/>
        <w:rPr>
          <w:rFonts w:eastAsia="Calibri"/>
          <w:lang w:val="lt-LT"/>
        </w:rPr>
      </w:pPr>
      <w:r w:rsidRPr="003D6A9D">
        <w:rPr>
          <w:rFonts w:eastAsia="Calibri"/>
          <w:lang w:val="lt-LT"/>
        </w:rPr>
        <w:t>Studija turi apimti tokias dalis:</w:t>
      </w:r>
    </w:p>
    <w:p w14:paraId="240E6E93" w14:textId="77777777" w:rsidR="003D6A9D" w:rsidRPr="003D6A9D" w:rsidRDefault="003D6A9D" w:rsidP="003D6A9D">
      <w:pPr>
        <w:ind w:firstLine="851"/>
        <w:jc w:val="both"/>
        <w:rPr>
          <w:rFonts w:eastAsia="Calibri"/>
          <w:lang w:val="lt-LT"/>
        </w:rPr>
      </w:pPr>
      <w:r w:rsidRPr="003D6A9D">
        <w:rPr>
          <w:rFonts w:eastAsia="Calibri"/>
          <w:lang w:val="lt-LT"/>
        </w:rPr>
        <w:t>1.1. bendrosios nuostatos, kuriose turi būti aptarta studijos paskirtis, tikslas ir uždaviniai, taikymo galimybės ir standartų rengimo ir diegimo viešajame sektoriuje reikšmė;</w:t>
      </w:r>
    </w:p>
    <w:p w14:paraId="58B4B573" w14:textId="58BB019C" w:rsidR="003D6A9D" w:rsidRPr="003D6A9D" w:rsidRDefault="003D6A9D" w:rsidP="003D6A9D">
      <w:pPr>
        <w:ind w:firstLine="851"/>
        <w:jc w:val="both"/>
        <w:rPr>
          <w:rFonts w:eastAsia="Calibri"/>
          <w:lang w:val="lt-LT"/>
        </w:rPr>
      </w:pPr>
      <w:r w:rsidRPr="003D6A9D">
        <w:rPr>
          <w:rFonts w:eastAsia="Calibri"/>
          <w:lang w:val="lt-LT"/>
        </w:rPr>
        <w:t>1.2. užsienio valstybių geroji patirtis (ne mažiau kaip 5 valstybių, iš kurių ne m</w:t>
      </w:r>
      <w:r w:rsidR="00333399">
        <w:rPr>
          <w:rFonts w:eastAsia="Calibri"/>
          <w:lang w:val="lt-LT"/>
        </w:rPr>
        <w:t>ažiau kaip 3 ES valstybės narės</w:t>
      </w:r>
      <w:r w:rsidRPr="003D6A9D">
        <w:rPr>
          <w:rFonts w:eastAsia="Calibri"/>
          <w:lang w:val="lt-LT"/>
        </w:rPr>
        <w:t xml:space="preserve"> ir ne maž</w:t>
      </w:r>
      <w:r w:rsidR="00A27569">
        <w:rPr>
          <w:rFonts w:eastAsia="Calibri"/>
          <w:lang w:val="lt-LT"/>
        </w:rPr>
        <w:t>iau</w:t>
      </w:r>
      <w:r w:rsidRPr="003D6A9D">
        <w:rPr>
          <w:rFonts w:eastAsia="Calibri"/>
          <w:lang w:val="lt-LT"/>
        </w:rPr>
        <w:t xml:space="preserve"> kaip 2 kitos valstybės), rengiant ir taikant bendrus aptarnavimo standartus viešajame sektoriuje; nustatyta ir argumentuota, kokia užsienio valstybių praktika (tiek viešajame tiek privačiame sektoriuose) galėtų būti pritaikyta Lietuvoje;</w:t>
      </w:r>
    </w:p>
    <w:p w14:paraId="27A1D186" w14:textId="751DB59E" w:rsidR="003D6A9D" w:rsidRPr="003D6A9D" w:rsidRDefault="003D6A9D" w:rsidP="003D6A9D">
      <w:pPr>
        <w:ind w:firstLine="851"/>
        <w:jc w:val="both"/>
        <w:rPr>
          <w:rFonts w:eastAsia="Calibri"/>
          <w:lang w:val="lt-LT"/>
        </w:rPr>
      </w:pPr>
      <w:r w:rsidRPr="003D6A9D">
        <w:rPr>
          <w:rFonts w:eastAsia="Calibri"/>
          <w:lang w:val="lt-LT"/>
        </w:rPr>
        <w:t xml:space="preserve">1.3. Lietuvos situacijos Lietuvoje viešajame ir privačiame sektoriuose standartų rengimo srityje įvertinimas, gerųjų standartų rengimo ir taikymo pavyzdžių pristatymas bei pasirengimo taikyti (įvertinus įstaigų išreikštą poreikį rengti standartus, nusistatytus sisteminius aptarnavimo gerinimo tikslus, vartotojų nuomonę ir pan.) </w:t>
      </w:r>
      <w:r w:rsidR="004B5933">
        <w:rPr>
          <w:rFonts w:eastAsia="Calibri"/>
          <w:lang w:val="lt-LT"/>
        </w:rPr>
        <w:t>bendrą standartą</w:t>
      </w:r>
      <w:r w:rsidRPr="003D6A9D">
        <w:rPr>
          <w:rFonts w:eastAsia="Calibri"/>
          <w:lang w:val="lt-LT"/>
        </w:rPr>
        <w:t xml:space="preserve"> įvertinimas;</w:t>
      </w:r>
    </w:p>
    <w:p w14:paraId="05EFC5DE" w14:textId="77777777" w:rsidR="003D6A9D" w:rsidRPr="003D6A9D" w:rsidRDefault="003D6A9D" w:rsidP="003D6A9D">
      <w:pPr>
        <w:ind w:firstLine="851"/>
        <w:jc w:val="both"/>
        <w:rPr>
          <w:rFonts w:eastAsia="Calibri"/>
          <w:lang w:val="lt-LT"/>
        </w:rPr>
      </w:pPr>
      <w:r w:rsidRPr="003D6A9D">
        <w:rPr>
          <w:rFonts w:eastAsia="Calibri"/>
          <w:lang w:val="lt-LT"/>
        </w:rPr>
        <w:t>1.4. pavyzdinio standarto parengimas:</w:t>
      </w:r>
    </w:p>
    <w:p w14:paraId="5A86945D" w14:textId="4A1B6669" w:rsidR="003D6A9D" w:rsidRPr="003D6A9D" w:rsidRDefault="003D6A9D" w:rsidP="003D6A9D">
      <w:pPr>
        <w:ind w:firstLine="851"/>
        <w:jc w:val="both"/>
        <w:rPr>
          <w:rFonts w:eastAsia="Calibri"/>
          <w:lang w:val="lt-LT"/>
        </w:rPr>
      </w:pPr>
      <w:r w:rsidRPr="003D6A9D">
        <w:rPr>
          <w:rFonts w:eastAsia="Calibri"/>
          <w:lang w:val="lt-LT"/>
        </w:rPr>
        <w:t>1.4.1</w:t>
      </w:r>
      <w:r w:rsidR="00836A5F">
        <w:rPr>
          <w:rFonts w:eastAsia="Calibri"/>
          <w:lang w:val="lt-LT"/>
        </w:rPr>
        <w:t>.</w:t>
      </w:r>
      <w:r w:rsidRPr="003D6A9D">
        <w:rPr>
          <w:rFonts w:eastAsia="Calibri"/>
          <w:lang w:val="lt-LT"/>
        </w:rPr>
        <w:t xml:space="preserve"> nustatyti ir parengti </w:t>
      </w:r>
      <w:r w:rsidR="00836A5F" w:rsidRPr="003D6A9D">
        <w:rPr>
          <w:rFonts w:eastAsia="Calibri"/>
          <w:lang w:val="lt-LT"/>
        </w:rPr>
        <w:t>viening</w:t>
      </w:r>
      <w:r w:rsidR="00836A5F">
        <w:rPr>
          <w:rFonts w:eastAsia="Calibri"/>
          <w:lang w:val="lt-LT"/>
        </w:rPr>
        <w:t>ą</w:t>
      </w:r>
      <w:r w:rsidR="00836A5F" w:rsidRPr="003D6A9D">
        <w:rPr>
          <w:rFonts w:eastAsia="Calibri"/>
          <w:lang w:val="lt-LT"/>
        </w:rPr>
        <w:t xml:space="preserve"> </w:t>
      </w:r>
      <w:r w:rsidRPr="003D6A9D">
        <w:rPr>
          <w:rFonts w:eastAsia="Calibri"/>
          <w:lang w:val="lt-LT"/>
        </w:rPr>
        <w:t>standarto struktūrą, formą ir šabloną, pagal kurį būtų rengiami individualūs įstaigų standartai;</w:t>
      </w:r>
    </w:p>
    <w:p w14:paraId="77F68EE5" w14:textId="77777777" w:rsidR="003D6A9D" w:rsidRPr="003D6A9D" w:rsidRDefault="003D6A9D" w:rsidP="003D6A9D">
      <w:pPr>
        <w:ind w:firstLine="851"/>
        <w:jc w:val="both"/>
        <w:rPr>
          <w:rFonts w:eastAsia="Calibri"/>
          <w:lang w:val="lt-LT"/>
        </w:rPr>
      </w:pPr>
      <w:r w:rsidRPr="003D6A9D">
        <w:rPr>
          <w:rFonts w:eastAsia="Calibri"/>
          <w:lang w:val="lt-LT"/>
        </w:rPr>
        <w:t>1.4.2. rengiant pavyzdinį standartą jo sudėtinėse dalyse turi būti nustatytos pagrindinės kokybiško aptarnavimo viešajame sektoriuje charakteristikos, įvertinti ir aptarti pagrindiniai aptarnavimo aspektai, tokie, kaip:</w:t>
      </w:r>
    </w:p>
    <w:p w14:paraId="48D4E299" w14:textId="77777777" w:rsidR="003D6A9D" w:rsidRPr="003D6A9D" w:rsidRDefault="003D6A9D" w:rsidP="003D6A9D">
      <w:pPr>
        <w:ind w:firstLine="851"/>
        <w:jc w:val="both"/>
        <w:rPr>
          <w:rFonts w:eastAsia="Calibri"/>
          <w:lang w:val="lt-LT"/>
        </w:rPr>
      </w:pPr>
      <w:r w:rsidRPr="003D6A9D">
        <w:rPr>
          <w:rFonts w:eastAsia="Calibri"/>
          <w:lang w:val="lt-LT"/>
        </w:rPr>
        <w:t>1.4.2.1. aptarnavimo sąlygos: aptarnavimo aplinka, darbo vieta, darbuotojų išvaizda, informacijos konfidencialumas, racionaliai naudojamas laikas, įstaigos įvaizdžio kūrimas ir kt.</w:t>
      </w:r>
    </w:p>
    <w:p w14:paraId="2A05E7B7" w14:textId="77777777" w:rsidR="003D6A9D" w:rsidRPr="003D6A9D" w:rsidRDefault="003D6A9D" w:rsidP="003D6A9D">
      <w:pPr>
        <w:ind w:firstLine="851"/>
        <w:jc w:val="both"/>
        <w:rPr>
          <w:rFonts w:eastAsia="Calibri"/>
          <w:lang w:val="lt-LT"/>
        </w:rPr>
      </w:pPr>
      <w:r w:rsidRPr="003D6A9D">
        <w:rPr>
          <w:rFonts w:eastAsia="Calibri"/>
          <w:lang w:val="lt-LT"/>
        </w:rPr>
        <w:t>1.4.2.2. asmenų aptarnavimas: bendravimo procesas, bendravimas telefonu, bendravimas elektroniniu paštu, socialiniais tinklais ir kt., bendravimas su žiniasklaida;</w:t>
      </w:r>
    </w:p>
    <w:p w14:paraId="3F97330B" w14:textId="77777777" w:rsidR="003D6A9D" w:rsidRPr="003D6A9D" w:rsidRDefault="003D6A9D" w:rsidP="003D6A9D">
      <w:pPr>
        <w:ind w:firstLine="851"/>
        <w:jc w:val="both"/>
        <w:rPr>
          <w:rFonts w:eastAsia="Calibri"/>
          <w:lang w:val="lt-LT"/>
        </w:rPr>
      </w:pPr>
      <w:r w:rsidRPr="003D6A9D">
        <w:rPr>
          <w:rFonts w:eastAsia="Calibri"/>
          <w:lang w:val="lt-LT"/>
        </w:rPr>
        <w:t>1.4.2.3. sudėtingos situacijos: pretenzijos ir skundai, elgesys suklydus, konfliktų valdymas, sudėtingos aptarnavimo situacijos, emocijų ir streso valdymas;</w:t>
      </w:r>
    </w:p>
    <w:p w14:paraId="268E057D" w14:textId="77777777" w:rsidR="003D6A9D" w:rsidRPr="003D6A9D" w:rsidRDefault="003D6A9D" w:rsidP="003D6A9D">
      <w:pPr>
        <w:ind w:firstLine="851"/>
        <w:jc w:val="both"/>
        <w:rPr>
          <w:rFonts w:eastAsia="Calibri"/>
          <w:lang w:val="lt-LT"/>
        </w:rPr>
      </w:pPr>
      <w:r w:rsidRPr="003D6A9D">
        <w:rPr>
          <w:rFonts w:eastAsia="Calibri"/>
          <w:lang w:val="lt-LT"/>
        </w:rPr>
        <w:t>1.4.2.4. kiti analizuojant gerąją užsienio ir Lietuvos praktiką nustatyti viešajam</w:t>
      </w:r>
      <w:r w:rsidRPr="003D6A9D">
        <w:rPr>
          <w:rFonts w:eastAsia="Calibri"/>
          <w:shd w:val="clear" w:color="auto" w:fill="FFFFFF"/>
          <w:lang w:val="lt-LT"/>
        </w:rPr>
        <w:t xml:space="preserve"> sektoriui būdingi asmenų  aptarnavimo elementai;</w:t>
      </w:r>
    </w:p>
    <w:p w14:paraId="317553BE"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1.5. į standartą įtrauktų aptarnavimo aspektų vertinimas/priežiūra ir matavimų atlikimas:</w:t>
      </w:r>
    </w:p>
    <w:p w14:paraId="7D1A76DD"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1.5.1. turi būti parengtas pavyzdinis matavimo modelis (metodai, priemonės, būdai);</w:t>
      </w:r>
    </w:p>
    <w:p w14:paraId="7B4EEA20"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1.5.2. apibrėžti matavimo rodikliai;</w:t>
      </w:r>
    </w:p>
    <w:p w14:paraId="1D78D8EB"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1.5.3. parengta pavyzdinė vertinimo anketa;</w:t>
      </w:r>
    </w:p>
    <w:p w14:paraId="40267C9F"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1.5.4. nustatyti pirminiai ir siektini tikslai;</w:t>
      </w:r>
    </w:p>
    <w:p w14:paraId="1F87C405"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1.6</w:t>
      </w:r>
      <w:r w:rsidRPr="003D6A9D">
        <w:rPr>
          <w:rFonts w:eastAsia="Calibri"/>
          <w:lang w:val="lt-LT"/>
        </w:rPr>
        <w:t xml:space="preserve">. pavyzdinės </w:t>
      </w:r>
      <w:r w:rsidRPr="003D6A9D">
        <w:rPr>
          <w:rFonts w:eastAsia="Calibri"/>
          <w:shd w:val="clear" w:color="auto" w:fill="FFFFFF"/>
          <w:lang w:val="lt-LT"/>
        </w:rPr>
        <w:t>ugdymo, mokymo ir motyvavimo sistemos sukūrimas;</w:t>
      </w:r>
    </w:p>
    <w:p w14:paraId="3677A8A4" w14:textId="77777777" w:rsidR="003D6A9D" w:rsidRPr="003D6A9D" w:rsidRDefault="003D6A9D" w:rsidP="003D6A9D">
      <w:pPr>
        <w:ind w:firstLine="851"/>
        <w:jc w:val="both"/>
        <w:rPr>
          <w:rFonts w:eastAsia="Calibri"/>
          <w:lang w:val="lt-LT"/>
        </w:rPr>
      </w:pPr>
      <w:r w:rsidRPr="003D6A9D">
        <w:rPr>
          <w:rFonts w:eastAsia="Calibri"/>
          <w:lang w:val="lt-LT"/>
        </w:rPr>
        <w:t xml:space="preserve">1.7. pavyzdinio </w:t>
      </w:r>
      <w:r w:rsidRPr="003D6A9D">
        <w:rPr>
          <w:rFonts w:eastAsia="Calibri"/>
          <w:shd w:val="clear" w:color="auto" w:fill="FFFFFF"/>
          <w:lang w:val="lt-LT"/>
        </w:rPr>
        <w:t>standarto viešinimo plano parengimas;</w:t>
      </w:r>
    </w:p>
    <w:p w14:paraId="278D7798"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1.8. pavyzdinio nuolatinio standarto palaikymo priemonių plano parengimas;</w:t>
      </w:r>
    </w:p>
    <w:p w14:paraId="7931B7CA" w14:textId="77777777" w:rsidR="003D6A9D" w:rsidRPr="003D6A9D" w:rsidRDefault="003D6A9D" w:rsidP="003D6A9D">
      <w:pPr>
        <w:ind w:firstLine="851"/>
        <w:jc w:val="both"/>
        <w:rPr>
          <w:rFonts w:eastAsia="Calibri"/>
          <w:lang w:val="lt-LT"/>
        </w:rPr>
      </w:pPr>
      <w:r w:rsidRPr="003D6A9D">
        <w:rPr>
          <w:rFonts w:eastAsia="Calibri"/>
          <w:lang w:val="lt-LT"/>
        </w:rPr>
        <w:lastRenderedPageBreak/>
        <w:t>1.9. bendrieji reikalavimai studijai:</w:t>
      </w:r>
    </w:p>
    <w:p w14:paraId="0364BBB8" w14:textId="77777777" w:rsidR="003D6A9D" w:rsidRPr="003D6A9D" w:rsidRDefault="003D6A9D" w:rsidP="003D6A9D">
      <w:pPr>
        <w:ind w:firstLine="851"/>
        <w:jc w:val="both"/>
        <w:rPr>
          <w:rFonts w:eastAsia="Calibri"/>
          <w:lang w:val="lt-LT"/>
        </w:rPr>
      </w:pPr>
      <w:r w:rsidRPr="003D6A9D">
        <w:rPr>
          <w:rFonts w:eastAsia="Calibri"/>
          <w:lang w:val="lt-LT"/>
        </w:rPr>
        <w:t xml:space="preserve">1.9.1. </w:t>
      </w:r>
      <w:r w:rsidRPr="003D6A9D">
        <w:rPr>
          <w:lang w:val="lt-LT"/>
        </w:rPr>
        <w:t>studija turi būti parengta taisyklinga lietuvių kalba,</w:t>
      </w:r>
      <w:r w:rsidRPr="003D6A9D">
        <w:rPr>
          <w:b/>
          <w:lang w:val="lt-LT"/>
        </w:rPr>
        <w:t xml:space="preserve"> </w:t>
      </w:r>
      <w:r w:rsidRPr="003D6A9D">
        <w:rPr>
          <w:rFonts w:eastAsia="Calibri"/>
          <w:lang w:val="lt-LT"/>
        </w:rPr>
        <w:t xml:space="preserve">jose neturi būti gramatikos ir/ar leksikos klaidų, vartojamos sąvokos semantine prasme turi būti taisyklingos; </w:t>
      </w:r>
    </w:p>
    <w:p w14:paraId="4A8234B8" w14:textId="77777777" w:rsidR="003D6A9D" w:rsidRPr="003D6A9D" w:rsidRDefault="003D6A9D" w:rsidP="003D6A9D">
      <w:pPr>
        <w:ind w:firstLine="851"/>
        <w:jc w:val="both"/>
        <w:rPr>
          <w:rFonts w:eastAsia="Calibri"/>
          <w:lang w:val="lt-LT"/>
        </w:rPr>
      </w:pPr>
      <w:r w:rsidRPr="003D6A9D">
        <w:rPr>
          <w:rFonts w:eastAsia="Calibri"/>
          <w:lang w:val="lt-LT"/>
        </w:rPr>
        <w:t>1.9.2. turi būti užtikrinta, kad studijoje vartojamų sąvokų turinys atitiktų Lietuvos Respublikos teisės aktuose vartojamas sąvokas; turi būti pateikti iš užsienio kalbų išverstų sąvokų paaiškinimai;</w:t>
      </w:r>
    </w:p>
    <w:p w14:paraId="002D5D80" w14:textId="77777777" w:rsidR="003D6A9D" w:rsidRPr="003D6A9D" w:rsidRDefault="003D6A9D" w:rsidP="003D6A9D">
      <w:pPr>
        <w:ind w:firstLine="851"/>
        <w:jc w:val="both"/>
        <w:rPr>
          <w:rFonts w:eastAsia="Calibri"/>
          <w:lang w:val="lt-LT"/>
        </w:rPr>
      </w:pPr>
      <w:r w:rsidRPr="003D6A9D">
        <w:rPr>
          <w:rFonts w:eastAsia="Calibri"/>
          <w:lang w:val="lt-LT"/>
        </w:rPr>
        <w:t>1.9.3.</w:t>
      </w:r>
      <w:r w:rsidRPr="003D6A9D">
        <w:rPr>
          <w:b/>
          <w:lang w:val="lt-LT"/>
        </w:rPr>
        <w:t xml:space="preserve"> </w:t>
      </w:r>
      <w:r w:rsidRPr="003D6A9D">
        <w:rPr>
          <w:lang w:val="lt-LT"/>
        </w:rPr>
        <w:t>studija turi būti iliustruota lentelėmis, grafikais ir kitomis vaizdinėmis priemonėmis;</w:t>
      </w:r>
    </w:p>
    <w:p w14:paraId="6768A521" w14:textId="77777777" w:rsidR="003D6A9D" w:rsidRPr="003D6A9D" w:rsidRDefault="003D6A9D" w:rsidP="003D6A9D">
      <w:pPr>
        <w:ind w:firstLine="851"/>
        <w:jc w:val="both"/>
        <w:rPr>
          <w:rFonts w:eastAsia="Calibri"/>
          <w:lang w:val="lt-LT"/>
        </w:rPr>
      </w:pPr>
      <w:r w:rsidRPr="003D6A9D">
        <w:rPr>
          <w:rFonts w:eastAsia="Calibri"/>
          <w:lang w:val="lt-LT"/>
        </w:rPr>
        <w:t>1.9.4. studija turi būti išdėstyta Microsoft Word formatu 12 šifru, tarpai tarp teksto eilučių – 1,5 eilutės, teksto apimtis – ne mažiau kaip 50 puslapių A4 formatu;</w:t>
      </w:r>
    </w:p>
    <w:p w14:paraId="3493D495" w14:textId="77777777" w:rsidR="003D6A9D" w:rsidRPr="003D6A9D" w:rsidRDefault="003D6A9D" w:rsidP="003D6A9D">
      <w:pPr>
        <w:ind w:firstLine="851"/>
        <w:jc w:val="both"/>
        <w:rPr>
          <w:rFonts w:eastAsia="Calibri"/>
          <w:lang w:val="lt-LT"/>
        </w:rPr>
      </w:pPr>
      <w:r w:rsidRPr="003D6A9D">
        <w:rPr>
          <w:rFonts w:eastAsia="Calibri"/>
          <w:lang w:val="lt-LT"/>
        </w:rPr>
        <w:t>1.9.5. turi būti pateikta studijos santrauka anglų kalba (2-3 puslapių apimties);</w:t>
      </w:r>
    </w:p>
    <w:p w14:paraId="264F2814" w14:textId="77777777" w:rsidR="003D6A9D" w:rsidRPr="003D6A9D" w:rsidRDefault="003D6A9D" w:rsidP="003D6A9D">
      <w:pPr>
        <w:ind w:firstLine="851"/>
        <w:jc w:val="both"/>
        <w:rPr>
          <w:rFonts w:eastAsia="Calibri"/>
          <w:lang w:val="lt-LT"/>
        </w:rPr>
      </w:pPr>
      <w:r w:rsidRPr="003D6A9D">
        <w:rPr>
          <w:rFonts w:eastAsia="Calibri"/>
          <w:lang w:val="lt-LT"/>
        </w:rPr>
        <w:t>1.9.6. turi būti pateiktas literatūros ir kitų informacijos šaltinių, kuriais buvo remtasi rengiant studiją, sąrašas;</w:t>
      </w:r>
    </w:p>
    <w:p w14:paraId="45C159D6" w14:textId="1834A00D" w:rsidR="003D6A9D" w:rsidRPr="003D6A9D" w:rsidRDefault="003D6A9D" w:rsidP="003D6A9D">
      <w:pPr>
        <w:ind w:firstLine="851"/>
        <w:jc w:val="both"/>
        <w:rPr>
          <w:rFonts w:eastAsia="Calibri"/>
          <w:lang w:val="lt-LT"/>
        </w:rPr>
      </w:pPr>
      <w:r w:rsidRPr="003D6A9D">
        <w:rPr>
          <w:rFonts w:eastAsia="Calibri"/>
          <w:lang w:val="lt-LT"/>
        </w:rPr>
        <w:t xml:space="preserve">1.9.7. turi būti parengtas straipsnis, pristatantis pavyzdinį standartą visuomenei (2-3 puslapių apimties) ir parengtos studiją pristatančias skaidrės (ne mažiau kaip 15 skaidrių), kurios pagal poreikį turėtų būti pristatytos Vidaus reikalų ministerijos organizuojamuose </w:t>
      </w:r>
      <w:r w:rsidR="00836A5F" w:rsidRPr="003D6A9D">
        <w:rPr>
          <w:rFonts w:eastAsia="Calibri"/>
          <w:lang w:val="lt-LT"/>
        </w:rPr>
        <w:t>rengin</w:t>
      </w:r>
      <w:r w:rsidR="00836A5F">
        <w:rPr>
          <w:rFonts w:eastAsia="Calibri"/>
          <w:lang w:val="lt-LT"/>
        </w:rPr>
        <w:t>iuos</w:t>
      </w:r>
      <w:r w:rsidR="00836A5F" w:rsidRPr="003D6A9D">
        <w:rPr>
          <w:rFonts w:eastAsia="Calibri"/>
          <w:lang w:val="lt-LT"/>
        </w:rPr>
        <w:t xml:space="preserve">e </w:t>
      </w:r>
      <w:r w:rsidRPr="003D6A9D">
        <w:rPr>
          <w:rFonts w:eastAsia="Calibri"/>
          <w:lang w:val="lt-LT"/>
        </w:rPr>
        <w:t>(ne mažiau kaip 3 renginiai);</w:t>
      </w:r>
    </w:p>
    <w:p w14:paraId="25A04707" w14:textId="77777777" w:rsidR="003D6A9D" w:rsidRPr="003D6A9D" w:rsidRDefault="003D6A9D" w:rsidP="003D6A9D">
      <w:pPr>
        <w:ind w:firstLine="851"/>
        <w:jc w:val="both"/>
        <w:rPr>
          <w:rFonts w:eastAsia="Calibri"/>
          <w:lang w:val="lt-LT"/>
        </w:rPr>
      </w:pPr>
      <w:r w:rsidRPr="003D6A9D">
        <w:rPr>
          <w:lang w:val="lt-LT"/>
        </w:rPr>
        <w:t>1.9.8</w:t>
      </w:r>
      <w:r w:rsidRPr="003D6A9D">
        <w:rPr>
          <w:rFonts w:eastAsia="Calibri"/>
          <w:lang w:val="lt-LT"/>
        </w:rPr>
        <w:t>. studija turi būti pateikta Vidaus reikalų ministerijai 2 spalvotai atspausdintais ir įrištais egzemplioriais ir skaitmeniniu įrašu (MS Word formatu) kompaktiniame diske 2 vnt.</w:t>
      </w:r>
    </w:p>
    <w:p w14:paraId="10D19AAF" w14:textId="77777777" w:rsidR="003D6A9D" w:rsidRPr="003D6A9D" w:rsidRDefault="003D6A9D" w:rsidP="003D6A9D">
      <w:pPr>
        <w:ind w:firstLine="851"/>
        <w:jc w:val="both"/>
        <w:rPr>
          <w:rFonts w:eastAsia="Calibri"/>
          <w:lang w:val="lt-LT"/>
        </w:rPr>
      </w:pPr>
      <w:r w:rsidRPr="003D6A9D">
        <w:rPr>
          <w:rFonts w:eastAsia="Calibri"/>
          <w:lang w:val="lt-LT"/>
        </w:rPr>
        <w:t>Studijoje ir kartu su ja pateikiamame straipsnyje, skaidrėse turi būti naudojami ES 2014-2020 metų struktūrinių fondų ženklas ir informuojama, kad parengta ataskaita finansuojama iš Europos socialinio fondo.</w:t>
      </w:r>
    </w:p>
    <w:p w14:paraId="5427D575" w14:textId="77777777" w:rsidR="003D6A9D" w:rsidRPr="003D6A9D" w:rsidRDefault="003D6A9D" w:rsidP="003D6A9D">
      <w:pPr>
        <w:jc w:val="both"/>
        <w:rPr>
          <w:rFonts w:eastAsia="Calibri"/>
          <w:shd w:val="clear" w:color="auto" w:fill="FFFFFF"/>
          <w:lang w:val="lt-LT"/>
        </w:rPr>
      </w:pPr>
    </w:p>
    <w:p w14:paraId="1734D7F3" w14:textId="77777777" w:rsidR="003D6A9D" w:rsidRPr="003D6A9D" w:rsidRDefault="003D6A9D" w:rsidP="003D6A9D">
      <w:pPr>
        <w:ind w:firstLine="851"/>
        <w:jc w:val="both"/>
        <w:rPr>
          <w:rFonts w:eastAsia="Calibri"/>
          <w:b/>
          <w:lang w:val="lt-LT"/>
        </w:rPr>
      </w:pPr>
      <w:r w:rsidRPr="003D6A9D">
        <w:rPr>
          <w:rFonts w:eastAsia="Calibri"/>
          <w:b/>
          <w:lang w:val="lt-LT"/>
        </w:rPr>
        <w:t>2. Pavyzdinio standarto pritaikymas (adaptavimas) konkrečiose įstaigose (Vyriausybės kanceliarijoje, ministerijose ir ministerijoms bei Vyriausybei atskaitingose viešojo sektoriaus įstaigose).</w:t>
      </w:r>
    </w:p>
    <w:p w14:paraId="614D5513" w14:textId="77777777" w:rsidR="003D6A9D" w:rsidRPr="003D6A9D" w:rsidRDefault="003D6A9D" w:rsidP="003D6A9D">
      <w:pPr>
        <w:ind w:firstLine="851"/>
        <w:jc w:val="both"/>
        <w:rPr>
          <w:rFonts w:eastAsia="Calibri"/>
          <w:lang w:val="lt-LT"/>
        </w:rPr>
      </w:pPr>
      <w:r w:rsidRPr="003D6A9D">
        <w:rPr>
          <w:rFonts w:eastAsia="Calibri"/>
          <w:lang w:val="lt-LT"/>
        </w:rPr>
        <w:t>Tikslas: kartu su įstaigų darbuotojais praktiškai pritaikyti (adaptuoti) parengtą pavyzdinį standartą konkrečiose įstaigose.</w:t>
      </w:r>
    </w:p>
    <w:p w14:paraId="6EC5A4E6" w14:textId="4983C3FD"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 xml:space="preserve">2.1. parengti ir su Vidaus reikalų ministerija suderinti metodinę mokymų ir dalomąją medžiagą, prezentaciją Power Point formatu mokymo medžiagą ir mokymų vertinimo anketas </w:t>
      </w:r>
      <w:r w:rsidR="00785058">
        <w:rPr>
          <w:rFonts w:eastAsia="Calibri"/>
          <w:shd w:val="clear" w:color="auto" w:fill="FFFFFF"/>
          <w:lang w:val="lt-LT"/>
        </w:rPr>
        <w:t>ir apmokyti</w:t>
      </w:r>
      <w:r w:rsidRPr="003D6A9D">
        <w:rPr>
          <w:rFonts w:eastAsia="Calibri"/>
          <w:shd w:val="clear" w:color="auto" w:fill="FFFFFF"/>
          <w:lang w:val="lt-LT"/>
        </w:rPr>
        <w:t xml:space="preserve"> įstaigų darbuotojus, atsakingus už asmenų aptarnavimą (viso apmokyta 120 </w:t>
      </w:r>
      <w:r w:rsidR="00614C9F">
        <w:rPr>
          <w:rFonts w:eastAsia="Calibri"/>
          <w:shd w:val="clear" w:color="auto" w:fill="FFFFFF"/>
          <w:lang w:val="lt-LT"/>
        </w:rPr>
        <w:t xml:space="preserve">darbuotojų; 4 mokymo kursai po </w:t>
      </w:r>
      <w:r w:rsidRPr="003D6A9D">
        <w:rPr>
          <w:rFonts w:eastAsia="Calibri"/>
          <w:shd w:val="clear" w:color="auto" w:fill="FFFFFF"/>
          <w:lang w:val="lt-LT"/>
        </w:rPr>
        <w:t>8 val.):</w:t>
      </w:r>
    </w:p>
    <w:p w14:paraId="2F53F415" w14:textId="083AFB53" w:rsidR="003D6A9D" w:rsidRPr="003D6A9D" w:rsidRDefault="00785058" w:rsidP="003D6A9D">
      <w:pPr>
        <w:ind w:firstLine="851"/>
        <w:jc w:val="both"/>
        <w:rPr>
          <w:rFonts w:eastAsia="Calibri"/>
          <w:shd w:val="clear" w:color="auto" w:fill="FFFFFF"/>
          <w:lang w:val="lt-LT"/>
        </w:rPr>
      </w:pPr>
      <w:r>
        <w:rPr>
          <w:rFonts w:eastAsia="Calibri"/>
          <w:shd w:val="clear" w:color="auto" w:fill="FFFFFF"/>
          <w:lang w:val="lt-LT"/>
        </w:rPr>
        <w:t>2.1.1. kaip parengti</w:t>
      </w:r>
      <w:r w:rsidR="003D6A9D" w:rsidRPr="003D6A9D">
        <w:rPr>
          <w:rFonts w:eastAsia="Calibri"/>
          <w:shd w:val="clear" w:color="auto" w:fill="FFFFFF"/>
          <w:lang w:val="lt-LT"/>
        </w:rPr>
        <w:t xml:space="preserve"> (adaptuoti) pavyzdinį standartą savo įstaigose:</w:t>
      </w:r>
    </w:p>
    <w:p w14:paraId="42C78C17"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2.1.2. kaip pamatuoti ir įvertinti aptarnavimo kokybę ir parengti standarto viešinimo palaikymo planus ir kt.;</w:t>
      </w:r>
    </w:p>
    <w:p w14:paraId="7C562C9D" w14:textId="77777777" w:rsidR="003D6A9D" w:rsidRPr="003D6A9D" w:rsidRDefault="003D6A9D" w:rsidP="003D6A9D">
      <w:pPr>
        <w:ind w:firstLine="851"/>
        <w:jc w:val="both"/>
        <w:rPr>
          <w:rFonts w:eastAsia="Calibri"/>
          <w:lang w:val="lt-LT"/>
        </w:rPr>
      </w:pPr>
      <w:r w:rsidRPr="003D6A9D">
        <w:rPr>
          <w:rFonts w:eastAsia="Calibri"/>
          <w:lang w:val="lt-LT"/>
        </w:rPr>
        <w:t xml:space="preserve">2.2. kartu su apmokytais darbuotojais (viso įdiegta/adaptuota 120 įstaigų): </w:t>
      </w:r>
    </w:p>
    <w:p w14:paraId="10FA7035" w14:textId="7589B6FC" w:rsidR="003D6A9D" w:rsidRPr="003D6A9D" w:rsidRDefault="003D6A9D" w:rsidP="003D6A9D">
      <w:pPr>
        <w:ind w:firstLine="851"/>
        <w:jc w:val="both"/>
        <w:rPr>
          <w:rFonts w:eastAsia="Calibri"/>
          <w:lang w:val="lt-LT"/>
        </w:rPr>
      </w:pPr>
      <w:r w:rsidRPr="003D6A9D">
        <w:rPr>
          <w:rFonts w:eastAsia="Calibri"/>
          <w:lang w:val="lt-LT"/>
        </w:rPr>
        <w:lastRenderedPageBreak/>
        <w:t>2.2.1. standartų neturinčiose įstaigose kartu su darbuotojais, jiems teikiant metodinę pagalbą,</w:t>
      </w:r>
      <w:r w:rsidR="00A36B0F">
        <w:rPr>
          <w:rFonts w:eastAsia="Calibri"/>
          <w:lang w:val="lt-LT"/>
        </w:rPr>
        <w:t xml:space="preserve"> pagal</w:t>
      </w:r>
      <w:r w:rsidRPr="003D6A9D">
        <w:rPr>
          <w:rFonts w:eastAsia="Calibri"/>
          <w:lang w:val="lt-LT"/>
        </w:rPr>
        <w:t xml:space="preserve"> pavyzdinį standartą ir </w:t>
      </w:r>
      <w:r w:rsidR="00785058">
        <w:rPr>
          <w:rFonts w:eastAsia="Calibri"/>
          <w:lang w:val="lt-LT"/>
        </w:rPr>
        <w:t>atsižvelgiant į</w:t>
      </w:r>
      <w:r w:rsidRPr="003D6A9D">
        <w:rPr>
          <w:rFonts w:eastAsia="Calibri"/>
          <w:lang w:val="lt-LT"/>
        </w:rPr>
        <w:t xml:space="preserve"> konkrečios įstaigos veiklos specifiką, parengti įstaigos aptarnavimo standartą;</w:t>
      </w:r>
    </w:p>
    <w:p w14:paraId="72AF6DC1" w14:textId="77777777" w:rsidR="003D6A9D" w:rsidRPr="003D6A9D" w:rsidRDefault="003D6A9D" w:rsidP="003D6A9D">
      <w:pPr>
        <w:ind w:firstLine="851"/>
        <w:jc w:val="both"/>
        <w:rPr>
          <w:rFonts w:eastAsia="Calibri"/>
          <w:lang w:val="lt-LT"/>
        </w:rPr>
      </w:pPr>
      <w:r w:rsidRPr="003D6A9D">
        <w:rPr>
          <w:rFonts w:eastAsia="Calibri"/>
          <w:lang w:val="lt-LT"/>
        </w:rPr>
        <w:t xml:space="preserve">2.2.2. standartus turinčiose įstaigose adaptuoti įstaigos turimą standartą pagal parengto pavyzdinio standarto reikalavimus; </w:t>
      </w:r>
    </w:p>
    <w:p w14:paraId="4F127069" w14:textId="00931976"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 xml:space="preserve">2.3. parengti metodinę mokymų ir dalomąją medžiagą, prezentaciją </w:t>
      </w:r>
      <w:r w:rsidRPr="003D6A9D">
        <w:rPr>
          <w:rFonts w:eastAsia="Calibri"/>
          <w:i/>
          <w:shd w:val="clear" w:color="auto" w:fill="FFFFFF"/>
          <w:lang w:val="lt-LT"/>
        </w:rPr>
        <w:t>Power Point</w:t>
      </w:r>
      <w:r w:rsidRPr="003D6A9D">
        <w:rPr>
          <w:rFonts w:eastAsia="Calibri"/>
          <w:shd w:val="clear" w:color="auto" w:fill="FFFFFF"/>
          <w:lang w:val="lt-LT"/>
        </w:rPr>
        <w:t xml:space="preserve"> formatu mokymo medžiagą ir mokymų vertinimo anketas ir </w:t>
      </w:r>
      <w:r w:rsidR="00785058">
        <w:rPr>
          <w:rFonts w:eastAsia="Calibri"/>
          <w:shd w:val="clear" w:color="auto" w:fill="FFFFFF"/>
          <w:lang w:val="lt-LT"/>
        </w:rPr>
        <w:t xml:space="preserve">apmokyti </w:t>
      </w:r>
      <w:r w:rsidRPr="003D6A9D">
        <w:rPr>
          <w:rFonts w:eastAsia="Calibri"/>
          <w:shd w:val="clear" w:color="auto" w:fill="FFFFFF"/>
          <w:lang w:val="lt-LT"/>
        </w:rPr>
        <w:t xml:space="preserve">įstaigų darbuotojus, atsakingus už asmenų aptarnavimą </w:t>
      </w:r>
      <w:r w:rsidRPr="003D6A9D">
        <w:rPr>
          <w:rFonts w:eastAsia="Calibri"/>
          <w:lang w:val="lt-LT"/>
        </w:rPr>
        <w:t xml:space="preserve">(viso apmokyta 120 </w:t>
      </w:r>
      <w:r w:rsidR="00614C9F">
        <w:rPr>
          <w:rFonts w:eastAsia="Calibri"/>
          <w:lang w:val="lt-LT"/>
        </w:rPr>
        <w:t xml:space="preserve">darbuotojų; 4 mokymo kursai po </w:t>
      </w:r>
      <w:r w:rsidRPr="003D6A9D">
        <w:rPr>
          <w:rFonts w:eastAsia="Calibri"/>
          <w:lang w:val="lt-LT"/>
        </w:rPr>
        <w:t>4 val.)</w:t>
      </w:r>
      <w:r w:rsidRPr="003D6A9D">
        <w:rPr>
          <w:rFonts w:eastAsia="Calibri"/>
          <w:shd w:val="clear" w:color="auto" w:fill="FFFFFF"/>
          <w:lang w:val="lt-LT"/>
        </w:rPr>
        <w:t>, kaip dirbti pagal standarte nustatytus reikalavimus. Mokymų metu turi būti suteiktos žinios, leidžiančios darbuotojams geriau suprasti ir išmokti teisingą asmenų aptarnavimo procesą, suteikiant žinių apie asmenų aptarnavimą, vartotinas frazes bei žodžius, kūno kalbą, pristatyti pagrindines įstaigų klaidas ir trūkumus ir kt. Mokymo medžiaga turi būti suderinta su Vidaus reikalų ministerija.</w:t>
      </w:r>
    </w:p>
    <w:p w14:paraId="116F4A2F" w14:textId="2D6AB973"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2.4. Mokymu procese dalyvaujantys asmenys turi b</w:t>
      </w:r>
      <w:r w:rsidR="00BC0D0D">
        <w:rPr>
          <w:rFonts w:eastAsia="Calibri"/>
          <w:shd w:val="clear" w:color="auto" w:fill="FFFFFF"/>
          <w:lang w:val="lt-LT"/>
        </w:rPr>
        <w:t>ūti informuojami, kad paslaugų S</w:t>
      </w:r>
      <w:r w:rsidRPr="003D6A9D">
        <w:rPr>
          <w:rFonts w:eastAsia="Calibri"/>
          <w:shd w:val="clear" w:color="auto" w:fill="FFFFFF"/>
          <w:lang w:val="lt-LT"/>
        </w:rPr>
        <w:t>utartis finansuojama iš Europos socialinio fondo, o paslaugos teikiamos Vidaus reikalų ministerijos užsakymu.</w:t>
      </w:r>
    </w:p>
    <w:p w14:paraId="757D9EF9" w14:textId="77777777"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3. Paslaugų teikėjas privalo užtikrinti patalpas, skirtas mokymams organizuoti, kavos pertraukėles, techninę įrangą (projektorių, kompiuterį prezentacijai pateikti).</w:t>
      </w:r>
    </w:p>
    <w:p w14:paraId="6F48B59C" w14:textId="77777777" w:rsidR="003D6A9D" w:rsidRPr="003D6A9D" w:rsidRDefault="003D6A9D" w:rsidP="003D6A9D">
      <w:pPr>
        <w:ind w:firstLine="851"/>
        <w:rPr>
          <w:rFonts w:eastAsia="Calibri"/>
          <w:lang w:val="lt-LT"/>
        </w:rPr>
      </w:pPr>
    </w:p>
    <w:p w14:paraId="536C04F3" w14:textId="77777777" w:rsidR="003D6A9D" w:rsidRPr="003D6A9D" w:rsidRDefault="003D6A9D" w:rsidP="003D6A9D">
      <w:pPr>
        <w:spacing w:before="240" w:after="240"/>
        <w:jc w:val="center"/>
        <w:rPr>
          <w:rFonts w:eastAsia="Calibri"/>
          <w:b/>
          <w:lang w:val="lt-LT"/>
        </w:rPr>
      </w:pPr>
      <w:r w:rsidRPr="003D6A9D">
        <w:rPr>
          <w:rFonts w:eastAsia="Calibri"/>
          <w:b/>
          <w:lang w:val="lt-LT"/>
        </w:rPr>
        <w:t>PASLAUGŲ APIMTIS IR VALDYMAS</w:t>
      </w:r>
    </w:p>
    <w:p w14:paraId="7206D20A" w14:textId="228E5B09" w:rsidR="003D6A9D" w:rsidRPr="003D6A9D" w:rsidRDefault="003D6A9D" w:rsidP="003D6A9D">
      <w:pPr>
        <w:ind w:firstLine="851"/>
        <w:jc w:val="both"/>
        <w:rPr>
          <w:rFonts w:eastAsia="Calibri"/>
          <w:lang w:val="lt-LT"/>
        </w:rPr>
      </w:pPr>
      <w:r w:rsidRPr="003D6A9D">
        <w:rPr>
          <w:rFonts w:eastAsia="Calibri"/>
          <w:lang w:val="lt-LT"/>
        </w:rPr>
        <w:t xml:space="preserve">4. Visos paslaugos turi būti suteiktos </w:t>
      </w:r>
      <w:r w:rsidRPr="003D6A9D">
        <w:rPr>
          <w:rFonts w:eastAsia="Calibri"/>
          <w:b/>
          <w:lang w:val="lt-LT"/>
        </w:rPr>
        <w:t>per 9 (devynis) mėnesius</w:t>
      </w:r>
      <w:r w:rsidR="00785058">
        <w:rPr>
          <w:rFonts w:eastAsia="Calibri"/>
          <w:lang w:val="lt-LT"/>
        </w:rPr>
        <w:t xml:space="preserve"> nuo S</w:t>
      </w:r>
      <w:r w:rsidRPr="003D6A9D">
        <w:rPr>
          <w:rFonts w:eastAsia="Calibri"/>
          <w:lang w:val="lt-LT"/>
        </w:rPr>
        <w:t>utarties įsigaliojimo dienos;</w:t>
      </w:r>
    </w:p>
    <w:p w14:paraId="0AB4BBD4" w14:textId="2F39B96B"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 xml:space="preserve">4.1. </w:t>
      </w:r>
      <w:r w:rsidRPr="003D6A9D">
        <w:rPr>
          <w:rFonts w:eastAsia="Calibri"/>
          <w:shd w:val="clear" w:color="auto" w:fill="FFFFFF"/>
          <w:lang w:val="lt-LT"/>
        </w:rPr>
        <w:tab/>
        <w:t>taikomojo pobūdžio studijos „Pavyzdinis gyventojų aptarnavimo viešojo sektoriaus įstaigose standartas“ parengim</w:t>
      </w:r>
      <w:r w:rsidR="00785058">
        <w:rPr>
          <w:rFonts w:eastAsia="Calibri"/>
          <w:shd w:val="clear" w:color="auto" w:fill="FFFFFF"/>
          <w:lang w:val="lt-LT"/>
        </w:rPr>
        <w:t>as – per 3 (tris) mėnesius nuo S</w:t>
      </w:r>
      <w:r w:rsidRPr="003D6A9D">
        <w:rPr>
          <w:rFonts w:eastAsia="Calibri"/>
          <w:shd w:val="clear" w:color="auto" w:fill="FFFFFF"/>
          <w:lang w:val="lt-LT"/>
        </w:rPr>
        <w:t>utarties įsigaliojimo dienos;</w:t>
      </w:r>
    </w:p>
    <w:p w14:paraId="52966099" w14:textId="61944E9C" w:rsidR="003D6A9D" w:rsidRPr="003D6A9D" w:rsidRDefault="003D6A9D" w:rsidP="003D6A9D">
      <w:pPr>
        <w:ind w:firstLine="851"/>
        <w:jc w:val="both"/>
        <w:rPr>
          <w:rFonts w:eastAsia="Calibri"/>
          <w:shd w:val="clear" w:color="auto" w:fill="FFFFFF"/>
          <w:lang w:val="lt-LT"/>
        </w:rPr>
      </w:pPr>
      <w:r w:rsidRPr="003D6A9D">
        <w:rPr>
          <w:rFonts w:eastAsia="Calibri"/>
          <w:shd w:val="clear" w:color="auto" w:fill="FFFFFF"/>
          <w:lang w:val="lt-LT"/>
        </w:rPr>
        <w:t>4.2. Pavyzdinio standarto pritaikymas (adaptavimas) konkrečiose įstaigose (Vyriausybės kanceliarijoje, ministerijose ir ministerijoms bei Vyriausybei atskaitingose viešo</w:t>
      </w:r>
      <w:r w:rsidR="00785058">
        <w:rPr>
          <w:rFonts w:eastAsia="Calibri"/>
          <w:shd w:val="clear" w:color="auto" w:fill="FFFFFF"/>
          <w:lang w:val="lt-LT"/>
        </w:rPr>
        <w:t>jo sektoriaus įstaigose) – iki S</w:t>
      </w:r>
      <w:r w:rsidRPr="003D6A9D">
        <w:rPr>
          <w:rFonts w:eastAsia="Calibri"/>
          <w:shd w:val="clear" w:color="auto" w:fill="FFFFFF"/>
          <w:lang w:val="lt-LT"/>
        </w:rPr>
        <w:t>utarties galiojimo termino pabaigos.</w:t>
      </w:r>
    </w:p>
    <w:p w14:paraId="0C708CA8" w14:textId="77777777" w:rsidR="00A95F38" w:rsidRPr="006807E1" w:rsidRDefault="00A95F38" w:rsidP="00B86CD5">
      <w:pPr>
        <w:ind w:left="420"/>
        <w:contextualSpacing/>
        <w:jc w:val="both"/>
        <w:rPr>
          <w:rFonts w:ascii="Arial" w:eastAsia="Calibri" w:hAnsi="Arial" w:cs="Arial"/>
          <w:b/>
          <w:lang w:val="lt-LT"/>
        </w:rPr>
      </w:pPr>
    </w:p>
    <w:tbl>
      <w:tblPr>
        <w:tblpPr w:leftFromText="180" w:rightFromText="180" w:vertAnchor="text" w:horzAnchor="margin" w:tblpY="282"/>
        <w:tblW w:w="9307" w:type="dxa"/>
        <w:tblLook w:val="0000" w:firstRow="0" w:lastRow="0" w:firstColumn="0" w:lastColumn="0" w:noHBand="0" w:noVBand="0"/>
      </w:tblPr>
      <w:tblGrid>
        <w:gridCol w:w="4788"/>
        <w:gridCol w:w="4519"/>
      </w:tblGrid>
      <w:tr w:rsidR="004D698B" w:rsidRPr="006807E1" w14:paraId="24EACE7D" w14:textId="77777777" w:rsidTr="006807E1">
        <w:trPr>
          <w:trHeight w:val="3403"/>
        </w:trPr>
        <w:tc>
          <w:tcPr>
            <w:tcW w:w="4788" w:type="dxa"/>
            <w:shd w:val="clear" w:color="auto" w:fill="auto"/>
          </w:tcPr>
          <w:p w14:paraId="4A2033C5" w14:textId="77777777" w:rsidR="004D698B" w:rsidRPr="006807E1" w:rsidRDefault="004D698B" w:rsidP="006807E1">
            <w:pPr>
              <w:ind w:left="420"/>
              <w:contextualSpacing/>
              <w:jc w:val="both"/>
              <w:rPr>
                <w:rFonts w:eastAsiaTheme="minorHAnsi"/>
                <w:b/>
                <w:szCs w:val="20"/>
                <w:lang w:val="lt-LT" w:bidi="en-US"/>
              </w:rPr>
            </w:pPr>
          </w:p>
          <w:p w14:paraId="506EE74E" w14:textId="77777777" w:rsidR="004D698B" w:rsidRPr="006807E1" w:rsidRDefault="004D698B" w:rsidP="006807E1">
            <w:pPr>
              <w:ind w:left="420" w:hanging="420"/>
              <w:contextualSpacing/>
              <w:jc w:val="both"/>
              <w:rPr>
                <w:rFonts w:eastAsiaTheme="minorHAnsi"/>
                <w:b/>
                <w:szCs w:val="20"/>
                <w:lang w:val="lt-LT" w:bidi="en-US"/>
              </w:rPr>
            </w:pPr>
            <w:r w:rsidRPr="006807E1">
              <w:rPr>
                <w:rFonts w:eastAsiaTheme="minorHAnsi"/>
                <w:b/>
                <w:szCs w:val="20"/>
                <w:lang w:val="lt-LT" w:bidi="en-US"/>
              </w:rPr>
              <w:t>KLIENTAS</w:t>
            </w:r>
          </w:p>
          <w:p w14:paraId="49AC73E7" w14:textId="77777777" w:rsidR="004D698B" w:rsidRPr="006807E1" w:rsidRDefault="004D698B" w:rsidP="006807E1">
            <w:pPr>
              <w:ind w:left="420" w:hanging="420"/>
              <w:contextualSpacing/>
              <w:jc w:val="both"/>
              <w:rPr>
                <w:rFonts w:eastAsiaTheme="minorHAnsi"/>
                <w:b/>
                <w:szCs w:val="20"/>
                <w:lang w:val="lt-LT" w:bidi="en-US"/>
              </w:rPr>
            </w:pPr>
          </w:p>
          <w:p w14:paraId="77E73337" w14:textId="39005821" w:rsidR="004D698B" w:rsidRPr="006807E1" w:rsidRDefault="002D74DD" w:rsidP="006807E1">
            <w:pPr>
              <w:ind w:left="420" w:hanging="420"/>
              <w:contextualSpacing/>
              <w:jc w:val="both"/>
              <w:rPr>
                <w:rFonts w:eastAsiaTheme="minorHAnsi"/>
                <w:b/>
                <w:szCs w:val="20"/>
                <w:lang w:val="lt-LT" w:bidi="en-US"/>
              </w:rPr>
            </w:pPr>
            <w:r w:rsidRPr="006807E1">
              <w:rPr>
                <w:rFonts w:eastAsiaTheme="minorHAnsi"/>
                <w:b/>
                <w:szCs w:val="20"/>
                <w:lang w:val="lt-LT" w:bidi="en-US"/>
              </w:rPr>
              <w:t>Valstybės tarnybos</w:t>
            </w:r>
            <w:r w:rsidR="004D698B" w:rsidRPr="006807E1">
              <w:rPr>
                <w:rFonts w:eastAsiaTheme="minorHAnsi"/>
                <w:b/>
                <w:szCs w:val="20"/>
                <w:lang w:val="lt-LT" w:bidi="en-US"/>
              </w:rPr>
              <w:t xml:space="preserve"> departamentas </w:t>
            </w:r>
          </w:p>
          <w:p w14:paraId="19C92F55" w14:textId="77777777" w:rsidR="008B5F99" w:rsidRPr="006807E1" w:rsidRDefault="004D698B" w:rsidP="006807E1">
            <w:pPr>
              <w:ind w:left="420" w:hanging="420"/>
              <w:contextualSpacing/>
              <w:jc w:val="both"/>
              <w:rPr>
                <w:rFonts w:eastAsiaTheme="minorHAnsi"/>
                <w:b/>
                <w:szCs w:val="20"/>
                <w:lang w:val="lt-LT" w:bidi="en-US"/>
              </w:rPr>
            </w:pPr>
            <w:r w:rsidRPr="006807E1">
              <w:rPr>
                <w:rFonts w:eastAsiaTheme="minorHAnsi"/>
                <w:b/>
                <w:szCs w:val="20"/>
                <w:lang w:val="lt-LT" w:bidi="en-US"/>
              </w:rPr>
              <w:t xml:space="preserve">prie Lietuvos Respublikos </w:t>
            </w:r>
          </w:p>
          <w:p w14:paraId="10A4171D" w14:textId="697E3A56" w:rsidR="008B5F99" w:rsidRPr="006807E1" w:rsidRDefault="004D698B" w:rsidP="00DB10EF">
            <w:pPr>
              <w:contextualSpacing/>
              <w:jc w:val="both"/>
              <w:rPr>
                <w:rFonts w:eastAsiaTheme="minorHAnsi"/>
                <w:b/>
                <w:szCs w:val="20"/>
                <w:lang w:val="lt-LT" w:bidi="en-US"/>
              </w:rPr>
            </w:pPr>
            <w:r w:rsidRPr="006807E1">
              <w:rPr>
                <w:rFonts w:eastAsiaTheme="minorHAnsi"/>
                <w:b/>
                <w:szCs w:val="20"/>
                <w:lang w:val="lt-LT" w:bidi="en-US"/>
              </w:rPr>
              <w:t>vidaus</w:t>
            </w:r>
            <w:r w:rsidR="00930E82">
              <w:rPr>
                <w:rFonts w:eastAsiaTheme="minorHAnsi"/>
                <w:b/>
                <w:szCs w:val="20"/>
                <w:lang w:val="lt-LT" w:bidi="en-US"/>
              </w:rPr>
              <w:t xml:space="preserve"> reikalų ministerija</w:t>
            </w:r>
          </w:p>
          <w:p w14:paraId="6C0A8EF3" w14:textId="77777777" w:rsidR="00930E82" w:rsidRPr="006807E1" w:rsidRDefault="00930E82" w:rsidP="00DB10EF">
            <w:pPr>
              <w:contextualSpacing/>
              <w:jc w:val="both"/>
              <w:rPr>
                <w:rFonts w:eastAsiaTheme="minorHAnsi"/>
                <w:b/>
                <w:szCs w:val="20"/>
                <w:lang w:val="lt-LT" w:bidi="en-US"/>
              </w:rPr>
            </w:pPr>
          </w:p>
          <w:p w14:paraId="6225898F" w14:textId="77777777" w:rsidR="00DB10EF" w:rsidRPr="006807E1" w:rsidRDefault="00DB10EF" w:rsidP="00DB10EF">
            <w:pPr>
              <w:contextualSpacing/>
              <w:jc w:val="both"/>
              <w:rPr>
                <w:rFonts w:eastAsiaTheme="minorHAnsi"/>
                <w:b/>
                <w:szCs w:val="20"/>
                <w:lang w:val="lt-LT" w:bidi="en-US"/>
              </w:rPr>
            </w:pPr>
          </w:p>
          <w:p w14:paraId="5CF618A1" w14:textId="77777777" w:rsidR="00930E82" w:rsidRPr="00C940EC" w:rsidRDefault="00930E82" w:rsidP="00930E82">
            <w:pPr>
              <w:rPr>
                <w:lang w:val="lt-LT"/>
              </w:rPr>
            </w:pPr>
            <w:r w:rsidRPr="00C940EC">
              <w:rPr>
                <w:lang w:val="lt-LT"/>
              </w:rPr>
              <w:t xml:space="preserve">Ministerijos kancleris </w:t>
            </w:r>
          </w:p>
          <w:p w14:paraId="681BB266" w14:textId="77777777" w:rsidR="00930E82" w:rsidRPr="00C940EC" w:rsidRDefault="00930E82" w:rsidP="00930E82">
            <w:pPr>
              <w:rPr>
                <w:lang w:val="lt-LT"/>
              </w:rPr>
            </w:pPr>
          </w:p>
          <w:p w14:paraId="0997F210" w14:textId="4E94B806" w:rsidR="00930E82" w:rsidRPr="00C940EC" w:rsidRDefault="00930E82" w:rsidP="00930E82">
            <w:pPr>
              <w:contextualSpacing/>
              <w:jc w:val="center"/>
              <w:rPr>
                <w:lang w:val="lt-LT"/>
              </w:rPr>
            </w:pPr>
            <w:r w:rsidRPr="00C940EC">
              <w:rPr>
                <w:lang w:val="lt-LT"/>
              </w:rPr>
              <w:t xml:space="preserve">               </w:t>
            </w:r>
            <w:r w:rsidR="00A2778E">
              <w:rPr>
                <w:lang w:val="lt-LT"/>
              </w:rPr>
              <w:t xml:space="preserve">                 </w:t>
            </w:r>
            <w:r w:rsidRPr="00C940EC">
              <w:rPr>
                <w:lang w:val="lt-LT"/>
              </w:rPr>
              <w:t xml:space="preserve">  A. V.                              </w:t>
            </w:r>
          </w:p>
          <w:p w14:paraId="7B2890C6" w14:textId="252DFEB8" w:rsidR="004D698B" w:rsidRPr="006807E1" w:rsidRDefault="00930E82" w:rsidP="00930E82">
            <w:pPr>
              <w:ind w:left="420" w:hanging="420"/>
              <w:contextualSpacing/>
              <w:jc w:val="both"/>
              <w:rPr>
                <w:rFonts w:eastAsiaTheme="minorHAnsi"/>
                <w:b/>
                <w:szCs w:val="20"/>
                <w:lang w:val="lt-LT" w:bidi="en-US"/>
              </w:rPr>
            </w:pPr>
            <w:r w:rsidRPr="00C940EC">
              <w:rPr>
                <w:lang w:val="lt-LT"/>
              </w:rPr>
              <w:t>Valdemar Urban</w:t>
            </w:r>
          </w:p>
        </w:tc>
        <w:tc>
          <w:tcPr>
            <w:tcW w:w="4519" w:type="dxa"/>
            <w:shd w:val="clear" w:color="auto" w:fill="auto"/>
          </w:tcPr>
          <w:p w14:paraId="5E46EBA5" w14:textId="77777777" w:rsidR="004D698B" w:rsidRPr="006807E1" w:rsidRDefault="004D698B" w:rsidP="006807E1">
            <w:pPr>
              <w:ind w:left="420"/>
              <w:contextualSpacing/>
              <w:jc w:val="both"/>
              <w:rPr>
                <w:rFonts w:eastAsiaTheme="minorHAnsi"/>
                <w:b/>
                <w:szCs w:val="20"/>
                <w:lang w:val="lt-LT" w:bidi="en-US"/>
              </w:rPr>
            </w:pPr>
          </w:p>
          <w:p w14:paraId="61CB128C" w14:textId="77777777" w:rsidR="004D698B" w:rsidRPr="006807E1" w:rsidRDefault="004D698B" w:rsidP="00477520">
            <w:pPr>
              <w:ind w:left="174"/>
              <w:contextualSpacing/>
              <w:jc w:val="both"/>
              <w:rPr>
                <w:rFonts w:eastAsiaTheme="minorHAnsi"/>
                <w:b/>
                <w:szCs w:val="20"/>
                <w:lang w:val="lt-LT" w:bidi="en-US"/>
              </w:rPr>
            </w:pPr>
            <w:r w:rsidRPr="006807E1">
              <w:rPr>
                <w:rFonts w:eastAsiaTheme="minorHAnsi"/>
                <w:b/>
                <w:szCs w:val="20"/>
                <w:lang w:val="lt-LT" w:bidi="en-US"/>
              </w:rPr>
              <w:t>PASLAUGŲ TEIKĖJAS</w:t>
            </w:r>
          </w:p>
          <w:p w14:paraId="46937D7E" w14:textId="77777777" w:rsidR="004D698B" w:rsidRPr="006807E1" w:rsidRDefault="004D698B" w:rsidP="006807E1">
            <w:pPr>
              <w:ind w:left="420"/>
              <w:contextualSpacing/>
              <w:jc w:val="both"/>
              <w:rPr>
                <w:rFonts w:eastAsiaTheme="minorHAnsi"/>
                <w:b/>
                <w:szCs w:val="20"/>
                <w:lang w:val="lt-LT" w:bidi="en-US"/>
              </w:rPr>
            </w:pPr>
          </w:p>
          <w:p w14:paraId="5F339CB0" w14:textId="0B919B96" w:rsidR="00AE58DA" w:rsidRPr="006807E1" w:rsidRDefault="00930E82" w:rsidP="00477520">
            <w:pPr>
              <w:ind w:left="174"/>
              <w:contextualSpacing/>
              <w:rPr>
                <w:rFonts w:eastAsiaTheme="minorHAnsi"/>
                <w:b/>
                <w:szCs w:val="20"/>
                <w:lang w:val="lt-LT" w:bidi="en-US"/>
              </w:rPr>
            </w:pPr>
            <w:r w:rsidRPr="00930E82">
              <w:rPr>
                <w:rFonts w:eastAsiaTheme="minorHAnsi"/>
                <w:b/>
                <w:bCs/>
                <w:szCs w:val="20"/>
                <w:lang w:val="lt-LT" w:bidi="en-US"/>
              </w:rPr>
              <w:t>Ūkio subjektų grupė, sudaryta iš UAB „Kvalitetas“ ir Mykolo Romerio universiteto, atstovaujama atsakingojo partnerio UAB „Kvalitetas“</w:t>
            </w:r>
          </w:p>
          <w:p w14:paraId="378E00F9" w14:textId="77777777" w:rsidR="002D74DD" w:rsidRPr="006807E1" w:rsidRDefault="002D74DD" w:rsidP="006807E1">
            <w:pPr>
              <w:ind w:left="420"/>
              <w:contextualSpacing/>
              <w:jc w:val="both"/>
              <w:rPr>
                <w:rFonts w:eastAsiaTheme="minorHAnsi"/>
                <w:b/>
                <w:szCs w:val="20"/>
                <w:lang w:val="lt-LT" w:bidi="en-US"/>
              </w:rPr>
            </w:pPr>
          </w:p>
          <w:p w14:paraId="75C2F7F1" w14:textId="09C5B932" w:rsidR="00930E82" w:rsidRPr="00930E82" w:rsidRDefault="0045017C" w:rsidP="00477520">
            <w:pPr>
              <w:widowControl w:val="0"/>
              <w:autoSpaceDE w:val="0"/>
              <w:autoSpaceDN w:val="0"/>
              <w:adjustRightInd w:val="0"/>
              <w:ind w:left="174" w:hanging="457"/>
              <w:rPr>
                <w:lang w:val="lt-LT"/>
              </w:rPr>
            </w:pPr>
            <w:r w:rsidRPr="006807E1">
              <w:rPr>
                <w:lang w:val="lt-LT"/>
              </w:rPr>
              <w:t xml:space="preserve">       </w:t>
            </w:r>
            <w:r w:rsidR="00930E82" w:rsidRPr="00930E82">
              <w:rPr>
                <w:lang w:val="lt-LT"/>
              </w:rPr>
              <w:t xml:space="preserve"> Vadybos konsultantas ir projektų koordinatorius </w:t>
            </w:r>
          </w:p>
          <w:p w14:paraId="3E783735" w14:textId="69D96488" w:rsidR="004D698B" w:rsidRPr="00477520" w:rsidRDefault="00930E82" w:rsidP="00477520">
            <w:pPr>
              <w:widowControl w:val="0"/>
              <w:autoSpaceDE w:val="0"/>
              <w:autoSpaceDN w:val="0"/>
              <w:adjustRightInd w:val="0"/>
              <w:ind w:left="174" w:hanging="174"/>
              <w:rPr>
                <w:lang w:val="lt-LT"/>
              </w:rPr>
            </w:pPr>
            <w:r w:rsidRPr="00930E82">
              <w:rPr>
                <w:lang w:val="lt-LT"/>
              </w:rPr>
              <w:t xml:space="preserve">                                                           A. V. </w:t>
            </w:r>
            <w:r w:rsidR="00477520">
              <w:rPr>
                <w:lang w:val="lt-LT"/>
              </w:rPr>
              <w:t xml:space="preserve">                               </w:t>
            </w:r>
            <w:r w:rsidRPr="00930E82">
              <w:rPr>
                <w:lang w:val="lt-LT"/>
              </w:rPr>
              <w:t>Darius Čapas</w:t>
            </w:r>
          </w:p>
        </w:tc>
      </w:tr>
    </w:tbl>
    <w:p w14:paraId="152867BB" w14:textId="77777777" w:rsidR="004D698B" w:rsidRPr="006807E1" w:rsidRDefault="004D698B" w:rsidP="00B86CD5">
      <w:pPr>
        <w:ind w:left="420"/>
        <w:contextualSpacing/>
        <w:jc w:val="both"/>
        <w:rPr>
          <w:rFonts w:ascii="Arial" w:eastAsia="Calibri" w:hAnsi="Arial" w:cs="Arial"/>
          <w:b/>
          <w:lang w:val="lt-LT"/>
        </w:rPr>
      </w:pPr>
    </w:p>
    <w:sectPr w:rsidR="004D698B" w:rsidRPr="006807E1"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3DA1E" w14:textId="77777777" w:rsidR="00243691" w:rsidRDefault="00243691" w:rsidP="00547D05">
      <w:r>
        <w:separator/>
      </w:r>
    </w:p>
  </w:endnote>
  <w:endnote w:type="continuationSeparator" w:id="0">
    <w:p w14:paraId="1495E70A" w14:textId="77777777" w:rsidR="00243691" w:rsidRDefault="0024369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FCEB2" w14:textId="77777777" w:rsidR="00243691" w:rsidRDefault="00243691" w:rsidP="00547D05">
      <w:r>
        <w:separator/>
      </w:r>
    </w:p>
  </w:footnote>
  <w:footnote w:type="continuationSeparator" w:id="0">
    <w:p w14:paraId="579F0AA9" w14:textId="77777777" w:rsidR="00243691" w:rsidRDefault="00243691"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6807E1" w:rsidRDefault="006807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DAAF51" w14:textId="77777777" w:rsidR="006807E1" w:rsidRDefault="006807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6807E1" w:rsidRPr="00E61E79" w:rsidRDefault="006807E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1A7E1B">
      <w:rPr>
        <w:rStyle w:val="Puslapionumeris"/>
        <w:noProof/>
        <w:sz w:val="24"/>
        <w:szCs w:val="24"/>
      </w:rPr>
      <w:t>2</w:t>
    </w:r>
    <w:r w:rsidRPr="00E61E79">
      <w:rPr>
        <w:rStyle w:val="Puslapionumeris"/>
        <w:sz w:val="24"/>
        <w:szCs w:val="24"/>
      </w:rPr>
      <w:fldChar w:fldCharType="end"/>
    </w:r>
  </w:p>
  <w:p w14:paraId="2D53B29F" w14:textId="77777777" w:rsidR="006807E1" w:rsidRDefault="006807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1" w15:restartNumberingAfterBreak="0">
    <w:nsid w:val="21F01E94"/>
    <w:multiLevelType w:val="hybridMultilevel"/>
    <w:tmpl w:val="0FCC74F2"/>
    <w:lvl w:ilvl="0" w:tplc="0427000F">
      <w:start w:val="1"/>
      <w:numFmt w:val="decimal"/>
      <w:lvlText w:val="%1."/>
      <w:lvlJc w:val="left"/>
      <w:pPr>
        <w:tabs>
          <w:tab w:val="num" w:pos="720"/>
        </w:tabs>
        <w:ind w:left="720" w:hanging="360"/>
      </w:pPr>
    </w:lvl>
    <w:lvl w:ilvl="1" w:tplc="9D86CF8C">
      <w:start w:val="1"/>
      <w:numFmt w:val="bullet"/>
      <w:lvlText w:val=""/>
      <w:lvlJc w:val="left"/>
      <w:pPr>
        <w:tabs>
          <w:tab w:val="num" w:pos="284"/>
        </w:tabs>
        <w:ind w:left="227" w:hanging="227"/>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9415013"/>
    <w:multiLevelType w:val="multilevel"/>
    <w:tmpl w:val="C144E3BC"/>
    <w:lvl w:ilvl="0">
      <w:start w:val="1"/>
      <w:numFmt w:val="decimal"/>
      <w:lvlText w:val="%1."/>
      <w:lvlJc w:val="left"/>
      <w:pPr>
        <w:ind w:left="107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D2422BD"/>
    <w:multiLevelType w:val="multilevel"/>
    <w:tmpl w:val="0427001F"/>
    <w:lvl w:ilvl="0">
      <w:start w:val="1"/>
      <w:numFmt w:val="decimal"/>
      <w:lvlText w:val="%1."/>
      <w:lvlJc w:val="left"/>
      <w:pPr>
        <w:ind w:left="1495" w:hanging="360"/>
      </w:pPr>
      <w:rPr>
        <w:rFonts w:cs="Times New Roman" w:hint="default"/>
        <w:color w:val="auto"/>
      </w:rPr>
    </w:lvl>
    <w:lvl w:ilvl="1">
      <w:start w:val="1"/>
      <w:numFmt w:val="decimal"/>
      <w:lvlText w:val="%1.%2."/>
      <w:lvlJc w:val="left"/>
      <w:pPr>
        <w:ind w:left="934" w:hanging="432"/>
      </w:pPr>
      <w:rPr>
        <w:rFonts w:cs="Times New Roman"/>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5"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6" w15:restartNumberingAfterBreak="0">
    <w:nsid w:val="75947827"/>
    <w:multiLevelType w:val="multilevel"/>
    <w:tmpl w:val="90963ED2"/>
    <w:lvl w:ilvl="0">
      <w:start w:val="1"/>
      <w:numFmt w:val="decimal"/>
      <w:lvlText w:val="%1."/>
      <w:lvlJc w:val="left"/>
      <w:pPr>
        <w:ind w:left="1070" w:hanging="360"/>
      </w:pPr>
      <w:rPr>
        <w:b w:val="0"/>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1"/>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622B"/>
    <w:rsid w:val="000118E5"/>
    <w:rsid w:val="000166BA"/>
    <w:rsid w:val="00022EB7"/>
    <w:rsid w:val="00026294"/>
    <w:rsid w:val="000276E5"/>
    <w:rsid w:val="00034F7B"/>
    <w:rsid w:val="00036A1E"/>
    <w:rsid w:val="00040DFB"/>
    <w:rsid w:val="0004778E"/>
    <w:rsid w:val="00051596"/>
    <w:rsid w:val="00053577"/>
    <w:rsid w:val="0005427A"/>
    <w:rsid w:val="000566C2"/>
    <w:rsid w:val="00060D04"/>
    <w:rsid w:val="00065211"/>
    <w:rsid w:val="00080D65"/>
    <w:rsid w:val="00086282"/>
    <w:rsid w:val="00092085"/>
    <w:rsid w:val="00092DE0"/>
    <w:rsid w:val="00094AB7"/>
    <w:rsid w:val="0009552E"/>
    <w:rsid w:val="00097E51"/>
    <w:rsid w:val="000A1690"/>
    <w:rsid w:val="000A4458"/>
    <w:rsid w:val="000A5002"/>
    <w:rsid w:val="000B479B"/>
    <w:rsid w:val="000B5465"/>
    <w:rsid w:val="000C0AB0"/>
    <w:rsid w:val="000D770F"/>
    <w:rsid w:val="000E0988"/>
    <w:rsid w:val="000E641B"/>
    <w:rsid w:val="000E67DB"/>
    <w:rsid w:val="000F673B"/>
    <w:rsid w:val="001055A8"/>
    <w:rsid w:val="001102A9"/>
    <w:rsid w:val="00113425"/>
    <w:rsid w:val="00113AC4"/>
    <w:rsid w:val="001146B2"/>
    <w:rsid w:val="00115D05"/>
    <w:rsid w:val="001226D6"/>
    <w:rsid w:val="00122B9E"/>
    <w:rsid w:val="0012352A"/>
    <w:rsid w:val="001326A3"/>
    <w:rsid w:val="00134573"/>
    <w:rsid w:val="001357AE"/>
    <w:rsid w:val="001373F2"/>
    <w:rsid w:val="0014217C"/>
    <w:rsid w:val="00143F31"/>
    <w:rsid w:val="00146D49"/>
    <w:rsid w:val="0015233E"/>
    <w:rsid w:val="001542BC"/>
    <w:rsid w:val="001553D5"/>
    <w:rsid w:val="00157F71"/>
    <w:rsid w:val="00162481"/>
    <w:rsid w:val="00162981"/>
    <w:rsid w:val="0016691F"/>
    <w:rsid w:val="00167270"/>
    <w:rsid w:val="00173AF3"/>
    <w:rsid w:val="00176610"/>
    <w:rsid w:val="001816AB"/>
    <w:rsid w:val="0018353A"/>
    <w:rsid w:val="00194A10"/>
    <w:rsid w:val="00196946"/>
    <w:rsid w:val="001978FB"/>
    <w:rsid w:val="001A3F61"/>
    <w:rsid w:val="001A7D86"/>
    <w:rsid w:val="001A7E1B"/>
    <w:rsid w:val="001B0244"/>
    <w:rsid w:val="001B7482"/>
    <w:rsid w:val="001C21F8"/>
    <w:rsid w:val="001C6643"/>
    <w:rsid w:val="001C7745"/>
    <w:rsid w:val="001C7B4A"/>
    <w:rsid w:val="001D0FE1"/>
    <w:rsid w:val="001E11F2"/>
    <w:rsid w:val="001E38C4"/>
    <w:rsid w:val="001E4200"/>
    <w:rsid w:val="001E5455"/>
    <w:rsid w:val="001F185D"/>
    <w:rsid w:val="001F373A"/>
    <w:rsid w:val="001F4615"/>
    <w:rsid w:val="00220BCF"/>
    <w:rsid w:val="002252BB"/>
    <w:rsid w:val="00225F69"/>
    <w:rsid w:val="00227533"/>
    <w:rsid w:val="002276EB"/>
    <w:rsid w:val="00233797"/>
    <w:rsid w:val="00240545"/>
    <w:rsid w:val="00241108"/>
    <w:rsid w:val="00242E30"/>
    <w:rsid w:val="00243691"/>
    <w:rsid w:val="00244C0F"/>
    <w:rsid w:val="0025793C"/>
    <w:rsid w:val="00261A6D"/>
    <w:rsid w:val="00265244"/>
    <w:rsid w:val="00271A12"/>
    <w:rsid w:val="00271F54"/>
    <w:rsid w:val="00277968"/>
    <w:rsid w:val="0028039B"/>
    <w:rsid w:val="0029249B"/>
    <w:rsid w:val="002957CA"/>
    <w:rsid w:val="002A0279"/>
    <w:rsid w:val="002A1925"/>
    <w:rsid w:val="002A3FAD"/>
    <w:rsid w:val="002A4AE2"/>
    <w:rsid w:val="002B09F4"/>
    <w:rsid w:val="002B3054"/>
    <w:rsid w:val="002B46E6"/>
    <w:rsid w:val="002B6716"/>
    <w:rsid w:val="002B73DF"/>
    <w:rsid w:val="002C1AF5"/>
    <w:rsid w:val="002D3BAB"/>
    <w:rsid w:val="002D74DD"/>
    <w:rsid w:val="002E3BEB"/>
    <w:rsid w:val="002E76D0"/>
    <w:rsid w:val="002F337B"/>
    <w:rsid w:val="002F3E7D"/>
    <w:rsid w:val="002F5651"/>
    <w:rsid w:val="002F7F0B"/>
    <w:rsid w:val="00300C22"/>
    <w:rsid w:val="00304D45"/>
    <w:rsid w:val="00314EE6"/>
    <w:rsid w:val="003172BB"/>
    <w:rsid w:val="003173ED"/>
    <w:rsid w:val="00317817"/>
    <w:rsid w:val="00332024"/>
    <w:rsid w:val="00333399"/>
    <w:rsid w:val="00333ED4"/>
    <w:rsid w:val="00342059"/>
    <w:rsid w:val="0034349B"/>
    <w:rsid w:val="00343A4C"/>
    <w:rsid w:val="0035187D"/>
    <w:rsid w:val="0035193F"/>
    <w:rsid w:val="00352DF8"/>
    <w:rsid w:val="00354D36"/>
    <w:rsid w:val="00355EDD"/>
    <w:rsid w:val="00356229"/>
    <w:rsid w:val="00357436"/>
    <w:rsid w:val="00360D8D"/>
    <w:rsid w:val="00362F69"/>
    <w:rsid w:val="0036307B"/>
    <w:rsid w:val="00367C03"/>
    <w:rsid w:val="0037249C"/>
    <w:rsid w:val="00375EAD"/>
    <w:rsid w:val="00380279"/>
    <w:rsid w:val="00381711"/>
    <w:rsid w:val="00391229"/>
    <w:rsid w:val="00391A94"/>
    <w:rsid w:val="003C4A12"/>
    <w:rsid w:val="003C5623"/>
    <w:rsid w:val="003D2C3B"/>
    <w:rsid w:val="003D2F16"/>
    <w:rsid w:val="003D6A9D"/>
    <w:rsid w:val="003E5E1B"/>
    <w:rsid w:val="003E65F5"/>
    <w:rsid w:val="003E7013"/>
    <w:rsid w:val="003E717F"/>
    <w:rsid w:val="003F561A"/>
    <w:rsid w:val="003F625B"/>
    <w:rsid w:val="00404246"/>
    <w:rsid w:val="004046AB"/>
    <w:rsid w:val="00412F62"/>
    <w:rsid w:val="00442ECB"/>
    <w:rsid w:val="00445876"/>
    <w:rsid w:val="0045017C"/>
    <w:rsid w:val="004572A1"/>
    <w:rsid w:val="00473EC4"/>
    <w:rsid w:val="00477520"/>
    <w:rsid w:val="00484C49"/>
    <w:rsid w:val="0049651F"/>
    <w:rsid w:val="004A12C1"/>
    <w:rsid w:val="004A2329"/>
    <w:rsid w:val="004A2C81"/>
    <w:rsid w:val="004A656F"/>
    <w:rsid w:val="004A7709"/>
    <w:rsid w:val="004B1B9C"/>
    <w:rsid w:val="004B1D47"/>
    <w:rsid w:val="004B1EF1"/>
    <w:rsid w:val="004B2A17"/>
    <w:rsid w:val="004B4C19"/>
    <w:rsid w:val="004B5933"/>
    <w:rsid w:val="004B5B1E"/>
    <w:rsid w:val="004C12B7"/>
    <w:rsid w:val="004C4819"/>
    <w:rsid w:val="004D172A"/>
    <w:rsid w:val="004D698B"/>
    <w:rsid w:val="004E5843"/>
    <w:rsid w:val="004F4BB1"/>
    <w:rsid w:val="0050207C"/>
    <w:rsid w:val="00504132"/>
    <w:rsid w:val="0051250F"/>
    <w:rsid w:val="00514E7E"/>
    <w:rsid w:val="005225E8"/>
    <w:rsid w:val="00530746"/>
    <w:rsid w:val="00541D85"/>
    <w:rsid w:val="00547D05"/>
    <w:rsid w:val="00556BDF"/>
    <w:rsid w:val="00563BA5"/>
    <w:rsid w:val="00573D05"/>
    <w:rsid w:val="00575BED"/>
    <w:rsid w:val="00577A87"/>
    <w:rsid w:val="00584976"/>
    <w:rsid w:val="005863B6"/>
    <w:rsid w:val="0058717C"/>
    <w:rsid w:val="00587CF8"/>
    <w:rsid w:val="00592E5F"/>
    <w:rsid w:val="005A03EC"/>
    <w:rsid w:val="005A14B1"/>
    <w:rsid w:val="005A42D7"/>
    <w:rsid w:val="005B0211"/>
    <w:rsid w:val="005C3DF4"/>
    <w:rsid w:val="005D26A6"/>
    <w:rsid w:val="005E08B9"/>
    <w:rsid w:val="005E28D8"/>
    <w:rsid w:val="005E483B"/>
    <w:rsid w:val="005E5311"/>
    <w:rsid w:val="005E5DA0"/>
    <w:rsid w:val="005F0134"/>
    <w:rsid w:val="005F0D20"/>
    <w:rsid w:val="005F2A30"/>
    <w:rsid w:val="005F7E25"/>
    <w:rsid w:val="00603F2A"/>
    <w:rsid w:val="00611A92"/>
    <w:rsid w:val="00614C9F"/>
    <w:rsid w:val="00620699"/>
    <w:rsid w:val="00620D45"/>
    <w:rsid w:val="00622D9E"/>
    <w:rsid w:val="00622EDC"/>
    <w:rsid w:val="00626D94"/>
    <w:rsid w:val="00630649"/>
    <w:rsid w:val="006462DC"/>
    <w:rsid w:val="006602A8"/>
    <w:rsid w:val="00663A1D"/>
    <w:rsid w:val="00671B92"/>
    <w:rsid w:val="0067551E"/>
    <w:rsid w:val="00675AAD"/>
    <w:rsid w:val="00675F42"/>
    <w:rsid w:val="006807E1"/>
    <w:rsid w:val="0068094A"/>
    <w:rsid w:val="00680D0A"/>
    <w:rsid w:val="00692315"/>
    <w:rsid w:val="0069514D"/>
    <w:rsid w:val="006974D8"/>
    <w:rsid w:val="00697B3F"/>
    <w:rsid w:val="00697BD0"/>
    <w:rsid w:val="006A2CBA"/>
    <w:rsid w:val="006A3ED5"/>
    <w:rsid w:val="006A41CA"/>
    <w:rsid w:val="006A4604"/>
    <w:rsid w:val="006B4DC5"/>
    <w:rsid w:val="006C253A"/>
    <w:rsid w:val="006C256B"/>
    <w:rsid w:val="006C3867"/>
    <w:rsid w:val="006C43B7"/>
    <w:rsid w:val="006C5505"/>
    <w:rsid w:val="006C575F"/>
    <w:rsid w:val="006C76F8"/>
    <w:rsid w:val="006D04F0"/>
    <w:rsid w:val="006D05DA"/>
    <w:rsid w:val="006D5257"/>
    <w:rsid w:val="006D5800"/>
    <w:rsid w:val="006E2865"/>
    <w:rsid w:val="006E772B"/>
    <w:rsid w:val="006F4979"/>
    <w:rsid w:val="007118AE"/>
    <w:rsid w:val="007119AD"/>
    <w:rsid w:val="00715962"/>
    <w:rsid w:val="00723277"/>
    <w:rsid w:val="007317BB"/>
    <w:rsid w:val="0073285D"/>
    <w:rsid w:val="00751889"/>
    <w:rsid w:val="00753B60"/>
    <w:rsid w:val="0076073E"/>
    <w:rsid w:val="00761856"/>
    <w:rsid w:val="00762409"/>
    <w:rsid w:val="007757F4"/>
    <w:rsid w:val="00775EBA"/>
    <w:rsid w:val="007775A2"/>
    <w:rsid w:val="007779AE"/>
    <w:rsid w:val="00781EE9"/>
    <w:rsid w:val="00785058"/>
    <w:rsid w:val="00790438"/>
    <w:rsid w:val="007976A9"/>
    <w:rsid w:val="007A3B90"/>
    <w:rsid w:val="007B56B6"/>
    <w:rsid w:val="007D70C6"/>
    <w:rsid w:val="007E1B1F"/>
    <w:rsid w:val="007E79DF"/>
    <w:rsid w:val="00802300"/>
    <w:rsid w:val="008103DC"/>
    <w:rsid w:val="00832090"/>
    <w:rsid w:val="00834152"/>
    <w:rsid w:val="00834CDB"/>
    <w:rsid w:val="00836A5F"/>
    <w:rsid w:val="008505A6"/>
    <w:rsid w:val="00851AF0"/>
    <w:rsid w:val="00854971"/>
    <w:rsid w:val="00861240"/>
    <w:rsid w:val="00881E92"/>
    <w:rsid w:val="00883754"/>
    <w:rsid w:val="00891BC8"/>
    <w:rsid w:val="00892ED7"/>
    <w:rsid w:val="00893F8F"/>
    <w:rsid w:val="00897158"/>
    <w:rsid w:val="008A3857"/>
    <w:rsid w:val="008A4781"/>
    <w:rsid w:val="008B24B3"/>
    <w:rsid w:val="008B5F99"/>
    <w:rsid w:val="008C0D75"/>
    <w:rsid w:val="008C6110"/>
    <w:rsid w:val="008C710A"/>
    <w:rsid w:val="008D4D96"/>
    <w:rsid w:val="008E017B"/>
    <w:rsid w:val="008E21C9"/>
    <w:rsid w:val="008F1791"/>
    <w:rsid w:val="00903D3F"/>
    <w:rsid w:val="00912C5E"/>
    <w:rsid w:val="0091481C"/>
    <w:rsid w:val="00914F52"/>
    <w:rsid w:val="00917A75"/>
    <w:rsid w:val="00920412"/>
    <w:rsid w:val="0092549B"/>
    <w:rsid w:val="00927749"/>
    <w:rsid w:val="00930E82"/>
    <w:rsid w:val="00936EE4"/>
    <w:rsid w:val="0094029A"/>
    <w:rsid w:val="00944422"/>
    <w:rsid w:val="009468C7"/>
    <w:rsid w:val="00954F9D"/>
    <w:rsid w:val="009572F5"/>
    <w:rsid w:val="00965A3F"/>
    <w:rsid w:val="00971261"/>
    <w:rsid w:val="00974938"/>
    <w:rsid w:val="0098033D"/>
    <w:rsid w:val="0098035A"/>
    <w:rsid w:val="009813C5"/>
    <w:rsid w:val="00985B74"/>
    <w:rsid w:val="0098695F"/>
    <w:rsid w:val="00992BBD"/>
    <w:rsid w:val="009970DB"/>
    <w:rsid w:val="009A12A3"/>
    <w:rsid w:val="009A49B0"/>
    <w:rsid w:val="009A596C"/>
    <w:rsid w:val="009B1CCB"/>
    <w:rsid w:val="009B309B"/>
    <w:rsid w:val="009C2539"/>
    <w:rsid w:val="009C25B6"/>
    <w:rsid w:val="009C5826"/>
    <w:rsid w:val="009C6C20"/>
    <w:rsid w:val="009C76CD"/>
    <w:rsid w:val="009E2DB0"/>
    <w:rsid w:val="009E4A8C"/>
    <w:rsid w:val="009F1530"/>
    <w:rsid w:val="009F22F4"/>
    <w:rsid w:val="009F3EA8"/>
    <w:rsid w:val="009F608D"/>
    <w:rsid w:val="00A00E22"/>
    <w:rsid w:val="00A05C40"/>
    <w:rsid w:val="00A067E2"/>
    <w:rsid w:val="00A11E45"/>
    <w:rsid w:val="00A15841"/>
    <w:rsid w:val="00A17BF8"/>
    <w:rsid w:val="00A21C4D"/>
    <w:rsid w:val="00A26BE9"/>
    <w:rsid w:val="00A27569"/>
    <w:rsid w:val="00A2778E"/>
    <w:rsid w:val="00A30AF6"/>
    <w:rsid w:val="00A329AE"/>
    <w:rsid w:val="00A337D7"/>
    <w:rsid w:val="00A34E01"/>
    <w:rsid w:val="00A36B0F"/>
    <w:rsid w:val="00A40006"/>
    <w:rsid w:val="00A5093F"/>
    <w:rsid w:val="00A65450"/>
    <w:rsid w:val="00A65F04"/>
    <w:rsid w:val="00A74D5B"/>
    <w:rsid w:val="00A770B5"/>
    <w:rsid w:val="00A80AA7"/>
    <w:rsid w:val="00A82578"/>
    <w:rsid w:val="00A82A54"/>
    <w:rsid w:val="00A8470F"/>
    <w:rsid w:val="00A85228"/>
    <w:rsid w:val="00A9280A"/>
    <w:rsid w:val="00A95F38"/>
    <w:rsid w:val="00A96CDB"/>
    <w:rsid w:val="00AA066F"/>
    <w:rsid w:val="00AC2102"/>
    <w:rsid w:val="00AC42F3"/>
    <w:rsid w:val="00AE1C46"/>
    <w:rsid w:val="00AE2B8F"/>
    <w:rsid w:val="00AE58DA"/>
    <w:rsid w:val="00B155E3"/>
    <w:rsid w:val="00B174FD"/>
    <w:rsid w:val="00B1783E"/>
    <w:rsid w:val="00B20E45"/>
    <w:rsid w:val="00B27BC0"/>
    <w:rsid w:val="00B3620B"/>
    <w:rsid w:val="00B42125"/>
    <w:rsid w:val="00B5090D"/>
    <w:rsid w:val="00B54B40"/>
    <w:rsid w:val="00B5548F"/>
    <w:rsid w:val="00B5685D"/>
    <w:rsid w:val="00B608A3"/>
    <w:rsid w:val="00B82CED"/>
    <w:rsid w:val="00B8345E"/>
    <w:rsid w:val="00B86CD5"/>
    <w:rsid w:val="00B872E4"/>
    <w:rsid w:val="00B97643"/>
    <w:rsid w:val="00BA3DEE"/>
    <w:rsid w:val="00BA7943"/>
    <w:rsid w:val="00BA7ACC"/>
    <w:rsid w:val="00BB4E52"/>
    <w:rsid w:val="00BB7A0F"/>
    <w:rsid w:val="00BC0D0D"/>
    <w:rsid w:val="00BC27C3"/>
    <w:rsid w:val="00BC5FDD"/>
    <w:rsid w:val="00BC65E5"/>
    <w:rsid w:val="00BD5F14"/>
    <w:rsid w:val="00BF2E97"/>
    <w:rsid w:val="00BF5828"/>
    <w:rsid w:val="00C02AA0"/>
    <w:rsid w:val="00C07108"/>
    <w:rsid w:val="00C10F34"/>
    <w:rsid w:val="00C10F55"/>
    <w:rsid w:val="00C1397E"/>
    <w:rsid w:val="00C237A0"/>
    <w:rsid w:val="00C36931"/>
    <w:rsid w:val="00C64874"/>
    <w:rsid w:val="00C73317"/>
    <w:rsid w:val="00C73DE3"/>
    <w:rsid w:val="00C76971"/>
    <w:rsid w:val="00C8414F"/>
    <w:rsid w:val="00CA12EA"/>
    <w:rsid w:val="00CB255E"/>
    <w:rsid w:val="00CB7E2C"/>
    <w:rsid w:val="00CC0976"/>
    <w:rsid w:val="00CC0B3B"/>
    <w:rsid w:val="00CD1DA6"/>
    <w:rsid w:val="00CD37EA"/>
    <w:rsid w:val="00CE7324"/>
    <w:rsid w:val="00CF31F6"/>
    <w:rsid w:val="00CF334E"/>
    <w:rsid w:val="00D02C75"/>
    <w:rsid w:val="00D06018"/>
    <w:rsid w:val="00D06EE3"/>
    <w:rsid w:val="00D07E69"/>
    <w:rsid w:val="00D112F2"/>
    <w:rsid w:val="00D20DA5"/>
    <w:rsid w:val="00D226E5"/>
    <w:rsid w:val="00D266F2"/>
    <w:rsid w:val="00D26CBF"/>
    <w:rsid w:val="00D517E6"/>
    <w:rsid w:val="00D619D3"/>
    <w:rsid w:val="00D61CCA"/>
    <w:rsid w:val="00D65531"/>
    <w:rsid w:val="00D73D87"/>
    <w:rsid w:val="00D75868"/>
    <w:rsid w:val="00D76EA8"/>
    <w:rsid w:val="00D85097"/>
    <w:rsid w:val="00D85240"/>
    <w:rsid w:val="00D86A5D"/>
    <w:rsid w:val="00D914DE"/>
    <w:rsid w:val="00DA27E4"/>
    <w:rsid w:val="00DA3F71"/>
    <w:rsid w:val="00DA694A"/>
    <w:rsid w:val="00DB10EF"/>
    <w:rsid w:val="00DB56EF"/>
    <w:rsid w:val="00DD2BDD"/>
    <w:rsid w:val="00DE1CB7"/>
    <w:rsid w:val="00DE5BA5"/>
    <w:rsid w:val="00DF0D3F"/>
    <w:rsid w:val="00DF0D4E"/>
    <w:rsid w:val="00DF1953"/>
    <w:rsid w:val="00DF3254"/>
    <w:rsid w:val="00DF4FCB"/>
    <w:rsid w:val="00DF7E27"/>
    <w:rsid w:val="00E075D7"/>
    <w:rsid w:val="00E127F8"/>
    <w:rsid w:val="00E24E6A"/>
    <w:rsid w:val="00E25D9C"/>
    <w:rsid w:val="00E30AC0"/>
    <w:rsid w:val="00E32D98"/>
    <w:rsid w:val="00E333A4"/>
    <w:rsid w:val="00E36AED"/>
    <w:rsid w:val="00E42610"/>
    <w:rsid w:val="00E431EA"/>
    <w:rsid w:val="00E52872"/>
    <w:rsid w:val="00E52BA6"/>
    <w:rsid w:val="00E568B9"/>
    <w:rsid w:val="00E57221"/>
    <w:rsid w:val="00E632E7"/>
    <w:rsid w:val="00E653A9"/>
    <w:rsid w:val="00E73444"/>
    <w:rsid w:val="00E7397F"/>
    <w:rsid w:val="00E8190A"/>
    <w:rsid w:val="00E86878"/>
    <w:rsid w:val="00E9014E"/>
    <w:rsid w:val="00E90309"/>
    <w:rsid w:val="00E90DDD"/>
    <w:rsid w:val="00E9267E"/>
    <w:rsid w:val="00EA1860"/>
    <w:rsid w:val="00EA22A0"/>
    <w:rsid w:val="00EA74F0"/>
    <w:rsid w:val="00EC49BB"/>
    <w:rsid w:val="00EC7BC5"/>
    <w:rsid w:val="00EE7726"/>
    <w:rsid w:val="00EF3767"/>
    <w:rsid w:val="00EF3F9D"/>
    <w:rsid w:val="00EF73CA"/>
    <w:rsid w:val="00F04B4B"/>
    <w:rsid w:val="00F05CBA"/>
    <w:rsid w:val="00F078CD"/>
    <w:rsid w:val="00F12039"/>
    <w:rsid w:val="00F22F8F"/>
    <w:rsid w:val="00F27301"/>
    <w:rsid w:val="00F31C1E"/>
    <w:rsid w:val="00F32242"/>
    <w:rsid w:val="00F4200B"/>
    <w:rsid w:val="00F447D8"/>
    <w:rsid w:val="00F50EAE"/>
    <w:rsid w:val="00F559B7"/>
    <w:rsid w:val="00F569EA"/>
    <w:rsid w:val="00F626B0"/>
    <w:rsid w:val="00F65E3E"/>
    <w:rsid w:val="00F6742F"/>
    <w:rsid w:val="00F72352"/>
    <w:rsid w:val="00F76173"/>
    <w:rsid w:val="00F82BB1"/>
    <w:rsid w:val="00F94A6A"/>
    <w:rsid w:val="00F961EB"/>
    <w:rsid w:val="00FA195D"/>
    <w:rsid w:val="00FC0587"/>
    <w:rsid w:val="00FC2008"/>
    <w:rsid w:val="00FD220B"/>
    <w:rsid w:val="00FD33CA"/>
    <w:rsid w:val="00FD425B"/>
    <w:rsid w:val="00FD7D98"/>
    <w:rsid w:val="00FE03F5"/>
    <w:rsid w:val="00FE17C8"/>
    <w:rsid w:val="00FE4DF7"/>
    <w:rsid w:val="00FE62E9"/>
    <w:rsid w:val="00FE6667"/>
    <w:rsid w:val="00FE7C01"/>
    <w:rsid w:val="00FF5DC7"/>
    <w:rsid w:val="00FF7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761E2FE8-EA21-4C34-B4B1-FDAAAD77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5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paragraph" w:styleId="HTMLiankstoformatuotas">
    <w:name w:val="HTML Preformatted"/>
    <w:basedOn w:val="prastasis"/>
    <w:link w:val="HTMLiankstoformatuotasDiagrama"/>
    <w:rsid w:val="0019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194A10"/>
    <w:rPr>
      <w:rFonts w:ascii="Courier New" w:eastAsia="Courier New" w:hAnsi="Courier New" w:cs="Times New Roman"/>
      <w:sz w:val="20"/>
      <w:szCs w:val="20"/>
      <w:lang w:val="en-GB"/>
    </w:rPr>
  </w:style>
  <w:style w:type="paragraph" w:customStyle="1" w:styleId="Standard">
    <w:name w:val="Standard"/>
    <w:rsid w:val="00240545"/>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val="lt-LT" w:eastAsia="zh-CN"/>
    </w:rPr>
  </w:style>
  <w:style w:type="paragraph" w:styleId="Puslapioinaostekstas">
    <w:name w:val="footnote text"/>
    <w:basedOn w:val="prastasis"/>
    <w:link w:val="PuslapioinaostekstasDiagrama"/>
    <w:uiPriority w:val="99"/>
    <w:rsid w:val="002D74DD"/>
    <w:rPr>
      <w:rFonts w:eastAsia="Calibri"/>
      <w:sz w:val="20"/>
      <w:szCs w:val="20"/>
      <w:lang w:val="lt-LT"/>
    </w:rPr>
  </w:style>
  <w:style w:type="character" w:customStyle="1" w:styleId="PuslapioinaostekstasDiagrama">
    <w:name w:val="Puslapio išnašos tekstas Diagrama"/>
    <w:basedOn w:val="Numatytasispastraiposriftas"/>
    <w:link w:val="Puslapioinaostekstas"/>
    <w:uiPriority w:val="99"/>
    <w:rsid w:val="002D74DD"/>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rsid w:val="002D74D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2DDC5-6437-49FD-AD14-C1D3852F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8145</Words>
  <Characters>4644</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Rasa Malijauskienė</cp:lastModifiedBy>
  <cp:revision>2</cp:revision>
  <cp:lastPrinted>2019-07-05T12:01:00Z</cp:lastPrinted>
  <dcterms:created xsi:type="dcterms:W3CDTF">2020-01-31T08:12:00Z</dcterms:created>
  <dcterms:modified xsi:type="dcterms:W3CDTF">2020-01-31T08:12:00Z</dcterms:modified>
</cp:coreProperties>
</file>