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D87DA" w14:textId="77777777" w:rsidR="00F01756" w:rsidRPr="00CB3CA4" w:rsidRDefault="00F01756" w:rsidP="00F01756">
      <w:pPr>
        <w:rPr>
          <w:rFonts w:asciiTheme="minorHAnsi" w:eastAsia="Calibri" w:hAnsiTheme="minorHAnsi" w:cs="Calibri Light"/>
          <w:b/>
          <w:lang w:val="lt-LT"/>
        </w:rPr>
      </w:pPr>
      <w:bookmarkStart w:id="0" w:name="_GoBack"/>
      <w:bookmarkEnd w:id="0"/>
    </w:p>
    <w:p w14:paraId="5BB1B619" w14:textId="77777777" w:rsidR="00F01756" w:rsidRPr="00CB3CA4" w:rsidRDefault="00F01756" w:rsidP="000C2098">
      <w:pPr>
        <w:jc w:val="center"/>
        <w:rPr>
          <w:rFonts w:asciiTheme="minorHAnsi" w:eastAsia="Calibri" w:hAnsiTheme="minorHAnsi" w:cs="Calibri Light"/>
          <w:b/>
          <w:sz w:val="22"/>
          <w:szCs w:val="22"/>
          <w:lang w:val="lt-LT"/>
        </w:rPr>
      </w:pPr>
    </w:p>
    <w:p w14:paraId="569B495A" w14:textId="77777777" w:rsidR="00CB3CA4" w:rsidRPr="00CB3CA4" w:rsidRDefault="000F0D4B" w:rsidP="000F0D4B">
      <w:pPr>
        <w:jc w:val="center"/>
        <w:rPr>
          <w:rFonts w:ascii="Calibri" w:hAnsi="Calibri"/>
          <w:b/>
          <w:caps/>
          <w:sz w:val="22"/>
          <w:szCs w:val="22"/>
          <w:lang w:val="lt-LT"/>
        </w:rPr>
      </w:pPr>
      <w:r w:rsidRPr="00CB3CA4">
        <w:rPr>
          <w:rFonts w:ascii="Calibri" w:hAnsi="Calibri"/>
          <w:b/>
          <w:caps/>
          <w:sz w:val="22"/>
          <w:szCs w:val="22"/>
          <w:lang w:val="lt-LT"/>
        </w:rPr>
        <w:t xml:space="preserve">Potencialiai pavojingų įrenginių techninės  BŪKLĖS TIKRINIMO paslaugŲ </w:t>
      </w:r>
    </w:p>
    <w:p w14:paraId="0C3E0DF7" w14:textId="1E59E08F" w:rsidR="000F0D4B" w:rsidRPr="00CB3CA4" w:rsidRDefault="000F0D4B" w:rsidP="000F0D4B">
      <w:pPr>
        <w:jc w:val="center"/>
        <w:rPr>
          <w:rFonts w:ascii="Calibri" w:hAnsi="Calibri"/>
          <w:b/>
          <w:caps/>
          <w:sz w:val="22"/>
          <w:szCs w:val="22"/>
          <w:lang w:val="lt-LT"/>
        </w:rPr>
      </w:pPr>
      <w:r w:rsidRPr="00CB3CA4">
        <w:rPr>
          <w:rFonts w:ascii="Calibri" w:hAnsi="Calibri"/>
          <w:b/>
          <w:caps/>
          <w:sz w:val="22"/>
          <w:szCs w:val="22"/>
          <w:lang w:val="lt-LT"/>
        </w:rPr>
        <w:t>techninĖ SPECIFIKACIJA</w:t>
      </w:r>
    </w:p>
    <w:p w14:paraId="43AA7454" w14:textId="77777777" w:rsidR="000F0D4B" w:rsidRPr="00CB3CA4" w:rsidRDefault="000F0D4B" w:rsidP="000F0D4B">
      <w:pPr>
        <w:pStyle w:val="Default"/>
        <w:ind w:firstLine="567"/>
        <w:jc w:val="center"/>
        <w:rPr>
          <w:rFonts w:ascii="Calibri" w:hAnsi="Calibri"/>
          <w:b/>
          <w:caps/>
          <w:color w:val="auto"/>
          <w:sz w:val="22"/>
          <w:szCs w:val="22"/>
        </w:rPr>
      </w:pPr>
    </w:p>
    <w:p w14:paraId="7D3D8BCF" w14:textId="77777777" w:rsidR="000F0D4B" w:rsidRPr="00CB3CA4" w:rsidRDefault="000F0D4B" w:rsidP="000F0D4B">
      <w:pPr>
        <w:pStyle w:val="Default"/>
        <w:ind w:firstLine="567"/>
        <w:jc w:val="center"/>
        <w:rPr>
          <w:rFonts w:ascii="Calibri" w:hAnsi="Calibri"/>
          <w:b/>
          <w:caps/>
          <w:color w:val="auto"/>
          <w:sz w:val="22"/>
          <w:szCs w:val="22"/>
        </w:rPr>
      </w:pPr>
    </w:p>
    <w:p w14:paraId="3D298779" w14:textId="77777777" w:rsidR="000F0D4B" w:rsidRPr="00CB3CA4" w:rsidRDefault="000F0D4B" w:rsidP="00CB3CA4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rPr>
          <w:rFonts w:ascii="Calibri" w:hAnsi="Calibri"/>
          <w:b/>
          <w:caps/>
          <w:color w:val="auto"/>
          <w:sz w:val="22"/>
          <w:szCs w:val="22"/>
        </w:rPr>
      </w:pPr>
      <w:r w:rsidRPr="00CB3CA4">
        <w:rPr>
          <w:rFonts w:ascii="Calibri" w:hAnsi="Calibri"/>
          <w:b/>
          <w:caps/>
          <w:color w:val="auto"/>
          <w:sz w:val="22"/>
          <w:szCs w:val="22"/>
        </w:rPr>
        <w:t>PIRKIMO OBJEKTAS</w:t>
      </w:r>
    </w:p>
    <w:p w14:paraId="7D3F0FC9" w14:textId="77777777" w:rsidR="000F0D4B" w:rsidRPr="00CB3CA4" w:rsidRDefault="000F0D4B" w:rsidP="00CB3CA4">
      <w:pPr>
        <w:pStyle w:val="Default"/>
        <w:tabs>
          <w:tab w:val="left" w:pos="851"/>
        </w:tabs>
        <w:ind w:firstLine="567"/>
        <w:jc w:val="both"/>
        <w:rPr>
          <w:rFonts w:ascii="Calibri" w:hAnsi="Calibri"/>
          <w:color w:val="auto"/>
          <w:sz w:val="22"/>
          <w:szCs w:val="22"/>
        </w:rPr>
      </w:pPr>
      <w:r w:rsidRPr="00CB3CA4">
        <w:rPr>
          <w:rFonts w:ascii="Calibri" w:hAnsi="Calibri"/>
          <w:color w:val="auto"/>
          <w:sz w:val="22"/>
          <w:szCs w:val="22"/>
        </w:rPr>
        <w:t xml:space="preserve">Pirkimo objektas - potencialiai pavojingų įrenginių (toliau – PPĮ) techninės būklės tikrinimo paslauga.  BVPŽ kodas 50610000-4. Paslaugų kategorija A.1.8. </w:t>
      </w:r>
      <w:r w:rsidRPr="00CB3CA4">
        <w:rPr>
          <w:rFonts w:ascii="Calibri" w:hAnsi="Calibri"/>
          <w:sz w:val="22"/>
          <w:szCs w:val="22"/>
        </w:rPr>
        <w:t>Pirkimo objektas skirstomas į  5 (penkias) pirkimo objekto dalis.</w:t>
      </w:r>
    </w:p>
    <w:p w14:paraId="774D8242" w14:textId="77777777" w:rsidR="000F0D4B" w:rsidRPr="00CB3CA4" w:rsidRDefault="000F0D4B" w:rsidP="00CB3CA4">
      <w:pPr>
        <w:pStyle w:val="Default"/>
        <w:tabs>
          <w:tab w:val="left" w:pos="851"/>
        </w:tabs>
        <w:ind w:left="567"/>
        <w:jc w:val="both"/>
        <w:rPr>
          <w:rFonts w:ascii="Calibri" w:hAnsi="Calibri"/>
          <w:b/>
          <w:color w:val="auto"/>
          <w:sz w:val="22"/>
          <w:szCs w:val="22"/>
        </w:rPr>
      </w:pPr>
    </w:p>
    <w:p w14:paraId="738B2213" w14:textId="77777777" w:rsidR="000F0D4B" w:rsidRPr="00CB3CA4" w:rsidRDefault="000F0D4B" w:rsidP="00CB3CA4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Calibri" w:hAnsi="Calibri"/>
          <w:b/>
          <w:color w:val="auto"/>
          <w:sz w:val="22"/>
          <w:szCs w:val="22"/>
        </w:rPr>
      </w:pPr>
      <w:r w:rsidRPr="00CB3CA4">
        <w:rPr>
          <w:rFonts w:ascii="Calibri" w:hAnsi="Calibri"/>
          <w:b/>
          <w:caps/>
          <w:color w:val="auto"/>
          <w:sz w:val="22"/>
          <w:szCs w:val="22"/>
        </w:rPr>
        <w:t xml:space="preserve">POTENCIALIAI PAVOJINGŲ ĮRENGINIŲ TECHNINĖS BŪKLĖS TIKRINIMO PASLAUGŲ pritaikymo </w:t>
      </w:r>
      <w:r w:rsidRPr="00CB3CA4">
        <w:rPr>
          <w:rFonts w:ascii="Calibri" w:hAnsi="Calibri"/>
          <w:b/>
          <w:color w:val="auto"/>
          <w:sz w:val="22"/>
          <w:szCs w:val="22"/>
        </w:rPr>
        <w:t xml:space="preserve">SRITIS </w:t>
      </w:r>
    </w:p>
    <w:p w14:paraId="3BA715BC" w14:textId="77777777" w:rsidR="000F0D4B" w:rsidRPr="00CB3CA4" w:rsidRDefault="000F0D4B" w:rsidP="00CB3CA4">
      <w:pPr>
        <w:pStyle w:val="Default"/>
        <w:tabs>
          <w:tab w:val="left" w:pos="851"/>
        </w:tabs>
        <w:jc w:val="both"/>
        <w:rPr>
          <w:rFonts w:ascii="Calibri" w:hAnsi="Calibri"/>
          <w:color w:val="auto"/>
          <w:sz w:val="22"/>
          <w:szCs w:val="22"/>
        </w:rPr>
      </w:pPr>
      <w:r w:rsidRPr="00CB3CA4">
        <w:rPr>
          <w:rFonts w:ascii="Calibri" w:hAnsi="Calibri"/>
          <w:color w:val="auto"/>
          <w:sz w:val="22"/>
          <w:szCs w:val="22"/>
        </w:rPr>
        <w:t xml:space="preserve">           Atlikti AB „Lietuvos geležinkeliai“ eksploatuojamų PPĮ techninius patikrinimus, teisės aktų nustatyta tvarka.</w:t>
      </w:r>
      <w:r w:rsidRPr="00CB3CA4">
        <w:rPr>
          <w:rFonts w:ascii="Calibri" w:hAnsi="Calibri"/>
          <w:sz w:val="22"/>
          <w:szCs w:val="22"/>
        </w:rPr>
        <w:t xml:space="preserve"> </w:t>
      </w:r>
      <w:r w:rsidRPr="00CB3CA4">
        <w:rPr>
          <w:rFonts w:ascii="Calibri" w:hAnsi="Calibri"/>
          <w:color w:val="auto"/>
          <w:sz w:val="22"/>
          <w:szCs w:val="22"/>
        </w:rPr>
        <w:t xml:space="preserve">     </w:t>
      </w:r>
    </w:p>
    <w:p w14:paraId="13F99741" w14:textId="77777777" w:rsidR="000F0D4B" w:rsidRPr="00CB3CA4" w:rsidRDefault="000F0D4B" w:rsidP="00CB3CA4">
      <w:pPr>
        <w:pStyle w:val="Default"/>
        <w:tabs>
          <w:tab w:val="left" w:pos="851"/>
        </w:tabs>
        <w:ind w:firstLine="567"/>
        <w:jc w:val="both"/>
        <w:rPr>
          <w:rFonts w:ascii="Calibri" w:hAnsi="Calibri"/>
          <w:strike/>
          <w:color w:val="auto"/>
          <w:sz w:val="22"/>
          <w:szCs w:val="22"/>
        </w:rPr>
      </w:pPr>
    </w:p>
    <w:p w14:paraId="692C56CD" w14:textId="77777777" w:rsidR="000F0D4B" w:rsidRPr="00CB3CA4" w:rsidRDefault="000F0D4B" w:rsidP="00CB3CA4">
      <w:pPr>
        <w:pStyle w:val="Default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Calibri" w:hAnsi="Calibri"/>
          <w:b/>
          <w:color w:val="auto"/>
          <w:sz w:val="22"/>
          <w:szCs w:val="22"/>
        </w:rPr>
      </w:pPr>
      <w:r w:rsidRPr="00CB3CA4">
        <w:rPr>
          <w:rFonts w:ascii="Calibri" w:hAnsi="Calibri"/>
          <w:b/>
          <w:caps/>
          <w:color w:val="auto"/>
          <w:sz w:val="22"/>
          <w:szCs w:val="22"/>
        </w:rPr>
        <w:t>potencialiai pavojingų įrenginių</w:t>
      </w:r>
      <w:r w:rsidRPr="00CB3CA4">
        <w:rPr>
          <w:rFonts w:ascii="Calibri" w:hAnsi="Calibri"/>
          <w:b/>
          <w:color w:val="auto"/>
          <w:sz w:val="22"/>
          <w:szCs w:val="22"/>
        </w:rPr>
        <w:t xml:space="preserve"> TECHNINĖS BŪKLĖS TIKRINIMO </w:t>
      </w:r>
      <w:r w:rsidRPr="00CB3CA4">
        <w:rPr>
          <w:rFonts w:ascii="Calibri" w:hAnsi="Calibri"/>
          <w:b/>
          <w:caps/>
          <w:color w:val="auto"/>
          <w:sz w:val="22"/>
          <w:szCs w:val="22"/>
        </w:rPr>
        <w:t>reikalavimai</w:t>
      </w:r>
    </w:p>
    <w:p w14:paraId="650AED88" w14:textId="77777777" w:rsidR="000F0D4B" w:rsidRPr="00CB3CA4" w:rsidRDefault="000F0D4B" w:rsidP="00CB3CA4">
      <w:pPr>
        <w:pStyle w:val="Default"/>
        <w:tabs>
          <w:tab w:val="left" w:pos="851"/>
        </w:tabs>
        <w:ind w:firstLine="567"/>
        <w:jc w:val="both"/>
        <w:rPr>
          <w:rFonts w:ascii="Calibri" w:hAnsi="Calibri"/>
          <w:b/>
          <w:color w:val="auto"/>
          <w:sz w:val="22"/>
          <w:szCs w:val="22"/>
        </w:rPr>
      </w:pPr>
      <w:r w:rsidRPr="00CB3CA4">
        <w:rPr>
          <w:rFonts w:ascii="Calibri" w:hAnsi="Calibri"/>
          <w:color w:val="auto"/>
          <w:sz w:val="22"/>
          <w:szCs w:val="22"/>
        </w:rPr>
        <w:t xml:space="preserve">3.1. </w:t>
      </w:r>
      <w:r w:rsidRPr="00CB3CA4">
        <w:rPr>
          <w:rFonts w:ascii="Calibri" w:hAnsi="Calibri"/>
          <w:b/>
          <w:color w:val="auto"/>
          <w:sz w:val="22"/>
          <w:szCs w:val="22"/>
        </w:rPr>
        <w:t>Privalomųjų ir pagrindinių normatyvinių dokumentų, kuriais turi vadovautis paslaugos teikėjas, sąrašas:</w:t>
      </w:r>
    </w:p>
    <w:p w14:paraId="6F476C4B" w14:textId="1ADAECD6" w:rsidR="000F0D4B" w:rsidRPr="00CB3CA4" w:rsidRDefault="000F0D4B" w:rsidP="00CB3CA4">
      <w:pPr>
        <w:pStyle w:val="ListParagraph"/>
        <w:numPr>
          <w:ilvl w:val="2"/>
          <w:numId w:val="19"/>
        </w:numPr>
        <w:tabs>
          <w:tab w:val="left" w:pos="1134"/>
        </w:tabs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/>
          <w:sz w:val="22"/>
          <w:szCs w:val="22"/>
          <w:lang w:val="lt-LT"/>
        </w:rPr>
        <w:t xml:space="preserve">1996 m. gegužės 2 d. </w:t>
      </w:r>
      <w:r w:rsidRPr="00CB3CA4">
        <w:rPr>
          <w:rFonts w:ascii="Calibri" w:hAnsi="Calibri"/>
          <w:sz w:val="22"/>
          <w:szCs w:val="22"/>
          <w:lang w:val="lt-LT" w:eastAsia="lt-LT"/>
        </w:rPr>
        <w:t xml:space="preserve">Lietuvos Respublikos potencialiai pavojingų įrenginių priežiūros įstatymas </w:t>
      </w:r>
      <w:r w:rsidR="00CB3CA4" w:rsidRPr="00CB3CA4">
        <w:rPr>
          <w:rFonts w:ascii="Calibri" w:hAnsi="Calibri"/>
          <w:sz w:val="22"/>
          <w:szCs w:val="22"/>
          <w:lang w:val="lt-LT" w:eastAsia="lt-LT"/>
        </w:rPr>
        <w:t xml:space="preserve">                     </w:t>
      </w:r>
      <w:r w:rsidRPr="00CB3CA4">
        <w:rPr>
          <w:rFonts w:ascii="Calibri" w:hAnsi="Calibri"/>
          <w:sz w:val="22"/>
          <w:szCs w:val="22"/>
          <w:lang w:val="lt-LT"/>
        </w:rPr>
        <w:t xml:space="preserve">Nr. I-1324 </w:t>
      </w:r>
      <w:r w:rsidRPr="00CB3CA4">
        <w:rPr>
          <w:rFonts w:ascii="Calibri" w:hAnsi="Calibri"/>
          <w:sz w:val="22"/>
          <w:szCs w:val="22"/>
          <w:lang w:val="lt-LT" w:eastAsia="lt-LT"/>
        </w:rPr>
        <w:t>(</w:t>
      </w:r>
      <w:r w:rsidRPr="00CB3CA4">
        <w:rPr>
          <w:rFonts w:ascii="Calibri" w:hAnsi="Calibri"/>
          <w:sz w:val="22"/>
          <w:szCs w:val="22"/>
          <w:lang w:val="lt-LT"/>
        </w:rPr>
        <w:t>su vėlesniais pakeitimais ir papildymais</w:t>
      </w:r>
      <w:r w:rsidRPr="00CB3CA4">
        <w:rPr>
          <w:rFonts w:ascii="Calibri" w:hAnsi="Calibri"/>
          <w:sz w:val="22"/>
          <w:szCs w:val="22"/>
          <w:lang w:val="lt-LT" w:eastAsia="lt-LT"/>
        </w:rPr>
        <w:t xml:space="preserve">). </w:t>
      </w:r>
    </w:p>
    <w:p w14:paraId="22127D0C" w14:textId="53E34056" w:rsidR="000F0D4B" w:rsidRPr="00CB3CA4" w:rsidRDefault="000F0D4B" w:rsidP="00CB3CA4">
      <w:pPr>
        <w:pStyle w:val="ListParagraph"/>
        <w:numPr>
          <w:ilvl w:val="2"/>
          <w:numId w:val="19"/>
        </w:numPr>
        <w:tabs>
          <w:tab w:val="left" w:pos="1134"/>
        </w:tabs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 w:cs="Open Sans"/>
          <w:color w:val="444444"/>
          <w:spacing w:val="2"/>
          <w:sz w:val="22"/>
          <w:szCs w:val="22"/>
          <w:shd w:val="clear" w:color="auto" w:fill="FFFFFF"/>
          <w:lang w:val="lt-LT"/>
        </w:rPr>
        <w:t>Lietuvos Respublikos Vyriausybės ir valstybės institucijų, atsakingų už atskirų kategorijų įrenginių priežiūros organizavimą, poįstatyminiai teisės aktai.</w:t>
      </w:r>
    </w:p>
    <w:p w14:paraId="3A53FC51" w14:textId="77777777" w:rsidR="000F0D4B" w:rsidRPr="00CB3CA4" w:rsidRDefault="000F0D4B" w:rsidP="000F0D4B">
      <w:pPr>
        <w:pStyle w:val="ListParagraph"/>
        <w:ind w:left="567"/>
        <w:jc w:val="both"/>
        <w:rPr>
          <w:rFonts w:ascii="Calibri" w:hAnsi="Calibri"/>
          <w:sz w:val="22"/>
          <w:szCs w:val="22"/>
          <w:lang w:val="lt-LT"/>
        </w:rPr>
      </w:pPr>
    </w:p>
    <w:p w14:paraId="430389CA" w14:textId="77777777" w:rsidR="000F0D4B" w:rsidRPr="00CB3CA4" w:rsidRDefault="000F0D4B" w:rsidP="000F0D4B">
      <w:pPr>
        <w:pStyle w:val="Default"/>
        <w:ind w:firstLine="567"/>
        <w:rPr>
          <w:rFonts w:ascii="Calibri" w:hAnsi="Calibri"/>
          <w:color w:val="auto"/>
          <w:sz w:val="22"/>
          <w:szCs w:val="22"/>
        </w:rPr>
      </w:pPr>
      <w:r w:rsidRPr="00CB3CA4">
        <w:rPr>
          <w:rFonts w:ascii="Calibri" w:hAnsi="Calibri"/>
          <w:color w:val="auto"/>
          <w:sz w:val="22"/>
          <w:szCs w:val="22"/>
        </w:rPr>
        <w:t xml:space="preserve">3.2. </w:t>
      </w:r>
      <w:r w:rsidRPr="00CB3CA4">
        <w:rPr>
          <w:rFonts w:ascii="Calibri" w:hAnsi="Calibri"/>
          <w:b/>
          <w:color w:val="auto"/>
          <w:sz w:val="22"/>
          <w:szCs w:val="22"/>
        </w:rPr>
        <w:t>Paslaugų pirkimo objekto funkcinės charakteristikos:</w:t>
      </w:r>
    </w:p>
    <w:p w14:paraId="79C9E677" w14:textId="46EE7446" w:rsidR="000F0D4B" w:rsidRPr="00CB3CA4" w:rsidRDefault="000F0D4B" w:rsidP="000F0D4B">
      <w:pPr>
        <w:pStyle w:val="Default"/>
        <w:ind w:firstLine="567"/>
        <w:jc w:val="both"/>
        <w:rPr>
          <w:rFonts w:ascii="Calibri" w:hAnsi="Calibri"/>
          <w:color w:val="auto"/>
          <w:sz w:val="22"/>
          <w:szCs w:val="22"/>
        </w:rPr>
      </w:pPr>
      <w:r w:rsidRPr="00CB3CA4">
        <w:rPr>
          <w:rFonts w:ascii="Calibri" w:hAnsi="Calibri"/>
          <w:color w:val="auto"/>
          <w:sz w:val="22"/>
          <w:szCs w:val="22"/>
        </w:rPr>
        <w:t>3.2.1. vadovaujantis P</w:t>
      </w:r>
      <w:r w:rsidRPr="00CB3CA4">
        <w:rPr>
          <w:rFonts w:ascii="Calibri" w:hAnsi="Calibri"/>
          <w:color w:val="auto"/>
          <w:sz w:val="22"/>
          <w:szCs w:val="22"/>
          <w:lang w:eastAsia="lt-LT"/>
        </w:rPr>
        <w:t xml:space="preserve">otencialiai pavojingų įrenginių priežiūros įstatymu, kitais teisės aktais, reglamentuojančiais šių įrenginių priežiūrą bei įrenginių techniniais dokumentais, </w:t>
      </w:r>
      <w:r w:rsidRPr="00CB3CA4">
        <w:rPr>
          <w:rFonts w:ascii="Calibri" w:hAnsi="Calibri"/>
          <w:color w:val="auto"/>
          <w:sz w:val="22"/>
          <w:szCs w:val="22"/>
        </w:rPr>
        <w:t>paslaugos teikėjas – įgaliota įrenginių techninės būklės tikrinimo įstaiga (toliau – įstaiga</w:t>
      </w:r>
      <w:r w:rsidRPr="00CB3CA4">
        <w:rPr>
          <w:rFonts w:ascii="Calibri" w:hAnsi="Calibri"/>
          <w:i/>
          <w:color w:val="auto"/>
          <w:sz w:val="22"/>
          <w:szCs w:val="22"/>
        </w:rPr>
        <w:t xml:space="preserve">), </w:t>
      </w:r>
      <w:r w:rsidRPr="00CB3CA4">
        <w:rPr>
          <w:rFonts w:ascii="Calibri" w:hAnsi="Calibri"/>
          <w:color w:val="auto"/>
          <w:sz w:val="22"/>
          <w:szCs w:val="22"/>
        </w:rPr>
        <w:t>atlieka įrenginių techninės  tikrinimo paslaugas 1 priede nurodytais adresais.</w:t>
      </w:r>
    </w:p>
    <w:p w14:paraId="519B6C80" w14:textId="77777777" w:rsidR="000F0D4B" w:rsidRPr="00CB3CA4" w:rsidRDefault="000F0D4B" w:rsidP="000F0D4B">
      <w:pPr>
        <w:pStyle w:val="Default"/>
        <w:ind w:firstLine="567"/>
        <w:jc w:val="both"/>
        <w:rPr>
          <w:rFonts w:ascii="Calibri" w:hAnsi="Calibri"/>
          <w:color w:val="auto"/>
          <w:sz w:val="22"/>
          <w:szCs w:val="22"/>
        </w:rPr>
      </w:pPr>
    </w:p>
    <w:p w14:paraId="529E3B59" w14:textId="77777777" w:rsidR="000F0D4B" w:rsidRPr="00CB3CA4" w:rsidRDefault="000F0D4B" w:rsidP="000F0D4B">
      <w:pPr>
        <w:pStyle w:val="Default"/>
        <w:ind w:firstLine="567"/>
        <w:jc w:val="both"/>
        <w:rPr>
          <w:rFonts w:ascii="Calibri" w:hAnsi="Calibri"/>
          <w:color w:val="auto"/>
          <w:sz w:val="22"/>
          <w:szCs w:val="22"/>
        </w:rPr>
      </w:pPr>
      <w:r w:rsidRPr="00CB3CA4">
        <w:rPr>
          <w:rFonts w:ascii="Calibri" w:hAnsi="Calibri"/>
          <w:color w:val="auto"/>
          <w:sz w:val="22"/>
          <w:szCs w:val="22"/>
        </w:rPr>
        <w:t xml:space="preserve">3.3. </w:t>
      </w:r>
      <w:r w:rsidRPr="00CB3CA4">
        <w:rPr>
          <w:rFonts w:ascii="Calibri" w:hAnsi="Calibri"/>
          <w:b/>
          <w:color w:val="auto"/>
          <w:sz w:val="22"/>
          <w:szCs w:val="22"/>
        </w:rPr>
        <w:t>Kitos pirkimo objekto savybės:</w:t>
      </w:r>
    </w:p>
    <w:p w14:paraId="1B579ECD" w14:textId="77777777" w:rsidR="000F0D4B" w:rsidRPr="00CB3CA4" w:rsidRDefault="000F0D4B" w:rsidP="000F0D4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/>
          <w:sz w:val="22"/>
          <w:szCs w:val="22"/>
          <w:lang w:val="lt-LT"/>
        </w:rPr>
        <w:t>Visos paslaugų teikimo sąnaudos ir kaštai  (techninės priemonės, bandymai, tikrinimai, transporto išlaidos, mokesčiai ir pan.) turi būti įtrauktos į paslaugų kainą;</w:t>
      </w:r>
    </w:p>
    <w:p w14:paraId="0B73CD4E" w14:textId="04D6DF4D" w:rsidR="000F0D4B" w:rsidRPr="00CB3CA4" w:rsidRDefault="000F0D4B" w:rsidP="000F0D4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/>
          <w:sz w:val="22"/>
          <w:szCs w:val="22"/>
          <w:lang w:val="lt-LT"/>
        </w:rPr>
        <w:t xml:space="preserve">Paslaugos suteikiamos ne vėliau kaip per 3 </w:t>
      </w:r>
      <w:r w:rsidR="00AF0699">
        <w:rPr>
          <w:rFonts w:ascii="Calibri" w:hAnsi="Calibri"/>
          <w:sz w:val="22"/>
          <w:szCs w:val="22"/>
          <w:lang w:val="lt-LT"/>
        </w:rPr>
        <w:t xml:space="preserve">(tris) </w:t>
      </w:r>
      <w:r w:rsidRPr="00CB3CA4">
        <w:rPr>
          <w:rFonts w:ascii="Calibri" w:hAnsi="Calibri"/>
          <w:sz w:val="22"/>
          <w:szCs w:val="22"/>
          <w:lang w:val="lt-LT"/>
        </w:rPr>
        <w:t xml:space="preserve">darbo dienas </w:t>
      </w:r>
      <w:r w:rsidR="00666637">
        <w:rPr>
          <w:rFonts w:ascii="Calibri" w:hAnsi="Calibri"/>
          <w:sz w:val="22"/>
          <w:szCs w:val="22"/>
          <w:lang w:val="lt-LT"/>
        </w:rPr>
        <w:t>nuo</w:t>
      </w:r>
      <w:r w:rsidR="00666637" w:rsidRPr="00CB3CA4">
        <w:rPr>
          <w:rFonts w:ascii="Calibri" w:hAnsi="Calibri"/>
          <w:sz w:val="22"/>
          <w:szCs w:val="22"/>
          <w:lang w:val="lt-LT"/>
        </w:rPr>
        <w:t xml:space="preserve"> </w:t>
      </w:r>
      <w:r w:rsidR="00AF0699">
        <w:rPr>
          <w:rFonts w:ascii="Calibri" w:hAnsi="Calibri"/>
          <w:sz w:val="22"/>
          <w:szCs w:val="22"/>
          <w:lang w:val="lt-LT"/>
        </w:rPr>
        <w:t>užsakymo</w:t>
      </w:r>
      <w:r w:rsidR="00AF0699" w:rsidRPr="00CB3CA4">
        <w:rPr>
          <w:rFonts w:ascii="Calibri" w:hAnsi="Calibri"/>
          <w:sz w:val="22"/>
          <w:szCs w:val="22"/>
          <w:lang w:val="lt-LT"/>
        </w:rPr>
        <w:t xml:space="preserve"> </w:t>
      </w:r>
      <w:r w:rsidRPr="00CB3CA4">
        <w:rPr>
          <w:rFonts w:ascii="Calibri" w:hAnsi="Calibri"/>
          <w:sz w:val="22"/>
          <w:szCs w:val="22"/>
          <w:lang w:val="lt-LT"/>
        </w:rPr>
        <w:t>pateikimo.</w:t>
      </w:r>
    </w:p>
    <w:p w14:paraId="7497F0F7" w14:textId="5E4F168F" w:rsidR="000F0D4B" w:rsidRPr="00CB3CA4" w:rsidRDefault="000F0D4B" w:rsidP="000F0D4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/>
          <w:sz w:val="22"/>
          <w:szCs w:val="22"/>
          <w:lang w:val="lt-LT"/>
        </w:rPr>
        <w:t xml:space="preserve">Paslaugos teikėjas ne vėliau kaip per 1 </w:t>
      </w:r>
      <w:r w:rsidR="00AF0699">
        <w:rPr>
          <w:rFonts w:ascii="Calibri" w:hAnsi="Calibri"/>
          <w:sz w:val="22"/>
          <w:szCs w:val="22"/>
          <w:lang w:val="lt-LT"/>
        </w:rPr>
        <w:t xml:space="preserve">(vieną) </w:t>
      </w:r>
      <w:r w:rsidRPr="00CB3CA4">
        <w:rPr>
          <w:rFonts w:ascii="Calibri" w:hAnsi="Calibri"/>
          <w:sz w:val="22"/>
          <w:szCs w:val="22"/>
          <w:lang w:val="lt-LT"/>
        </w:rPr>
        <w:t>darbo dieną</w:t>
      </w:r>
      <w:r w:rsidR="005F0F16">
        <w:rPr>
          <w:rFonts w:ascii="Calibri" w:hAnsi="Calibri"/>
          <w:sz w:val="22"/>
          <w:szCs w:val="22"/>
          <w:lang w:val="lt-LT"/>
        </w:rPr>
        <w:t xml:space="preserve"> nuo faktinio paslaugų suteikimo</w:t>
      </w:r>
      <w:r w:rsidRPr="00CB3CA4">
        <w:rPr>
          <w:rFonts w:ascii="Calibri" w:hAnsi="Calibri"/>
          <w:sz w:val="22"/>
          <w:szCs w:val="22"/>
          <w:lang w:val="lt-LT"/>
        </w:rPr>
        <w:t xml:space="preserve"> privalo pateikti atlikto patikrinimo ataskaitą, atlikti įrašus apie atliktą patikrinimą PPĮ techninėje dokumentacijoje (jeigu taikoma) ir išduoti lipduką (jeigu taikoma), patvirtinantį apie atliktą PPĮ techninės būklės patikrinimą;</w:t>
      </w:r>
    </w:p>
    <w:p w14:paraId="04042673" w14:textId="77777777" w:rsidR="000F0D4B" w:rsidRPr="00CB3CA4" w:rsidRDefault="000F0D4B" w:rsidP="000F0D4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/>
          <w:sz w:val="22"/>
          <w:szCs w:val="22"/>
          <w:lang w:val="lt-LT"/>
        </w:rPr>
        <w:t>Paslaugos teikėjas privalo pateikti visus duomenis apie atliktus PPĮ patikrinimus Potencialiai pavojingų įrenginių valstybės registrui teisės aktų nustatyta tvarka ir terminais;</w:t>
      </w:r>
    </w:p>
    <w:p w14:paraId="2E43C0DA" w14:textId="77777777" w:rsidR="000F0D4B" w:rsidRPr="00CB3CA4" w:rsidRDefault="000F0D4B" w:rsidP="000F0D4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/>
          <w:sz w:val="22"/>
          <w:szCs w:val="22"/>
          <w:lang w:val="lt-LT"/>
        </w:rPr>
        <w:t>Paslaugos teikėjas privalo esant poreikiui, atlikti neardomuosius ir/arba ardomuosius metalinių konstrukcijų bei suvirintų sujungimų bandymus akredituotoje laboratorijoje;</w:t>
      </w:r>
    </w:p>
    <w:p w14:paraId="784A3213" w14:textId="77777777" w:rsidR="000F0D4B" w:rsidRPr="00CB3CA4" w:rsidRDefault="000F0D4B" w:rsidP="000F0D4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/>
          <w:sz w:val="22"/>
          <w:szCs w:val="22"/>
          <w:lang w:val="lt-LT"/>
        </w:rPr>
        <w:t>Paslaugos teikėjas konsultuoja Užsakovą PPĮ techninės būklės patikrinimų klausimais;</w:t>
      </w:r>
    </w:p>
    <w:p w14:paraId="516FFCA9" w14:textId="1F582FCD" w:rsidR="000F0D4B" w:rsidRPr="00CB3CA4" w:rsidRDefault="000F0D4B" w:rsidP="000F0D4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rPr>
          <w:rFonts w:ascii="Calibri" w:hAnsi="Calibri"/>
          <w:sz w:val="22"/>
          <w:szCs w:val="22"/>
          <w:lang w:val="lt-LT"/>
        </w:rPr>
      </w:pPr>
      <w:r w:rsidRPr="00CB3CA4">
        <w:rPr>
          <w:rFonts w:ascii="Calibri" w:hAnsi="Calibri"/>
          <w:sz w:val="22"/>
          <w:szCs w:val="22"/>
          <w:lang w:val="lt-LT"/>
        </w:rPr>
        <w:t xml:space="preserve">Paslaugos teikėjas savo sąskaita aprūpina savo darbuotojus saugos priemonėmis ir užtikrina, kad </w:t>
      </w:r>
      <w:r w:rsidR="00CB3CA4" w:rsidRPr="00CB3CA4">
        <w:rPr>
          <w:rFonts w:ascii="Calibri" w:hAnsi="Calibri"/>
          <w:sz w:val="22"/>
          <w:szCs w:val="22"/>
          <w:lang w:val="lt-LT"/>
        </w:rPr>
        <w:t>Paslaugos</w:t>
      </w:r>
      <w:r w:rsidRPr="00CB3CA4">
        <w:rPr>
          <w:rFonts w:ascii="Calibri" w:hAnsi="Calibri"/>
          <w:sz w:val="22"/>
          <w:szCs w:val="22"/>
          <w:lang w:val="lt-LT"/>
        </w:rPr>
        <w:t xml:space="preserve"> teikėjo darbuotojai vykdytų visus darbų saugos ir sveikatos, aplinkosaugos, elektrosaugos ir gaisrinės saugos reikalavimus.</w:t>
      </w:r>
    </w:p>
    <w:p w14:paraId="503CBFAD" w14:textId="77777777" w:rsidR="000F0D4B" w:rsidRPr="00CB3CA4" w:rsidRDefault="000F0D4B" w:rsidP="000F0D4B">
      <w:pPr>
        <w:ind w:firstLine="567"/>
        <w:jc w:val="both"/>
        <w:rPr>
          <w:rFonts w:ascii="Calibri" w:hAnsi="Calibri" w:cs="Calibri"/>
          <w:spacing w:val="-2"/>
          <w:sz w:val="22"/>
          <w:szCs w:val="22"/>
          <w:lang w:val="lt-LT"/>
        </w:rPr>
      </w:pPr>
    </w:p>
    <w:p w14:paraId="45923959" w14:textId="77777777" w:rsidR="000F0D4B" w:rsidRPr="00CB3CA4" w:rsidRDefault="000F0D4B" w:rsidP="000F0D4B">
      <w:pPr>
        <w:jc w:val="both"/>
        <w:rPr>
          <w:rFonts w:ascii="Calibri" w:hAnsi="Calibri"/>
          <w:b/>
          <w:color w:val="000000"/>
          <w:sz w:val="22"/>
          <w:szCs w:val="22"/>
          <w:lang w:val="lt-LT"/>
        </w:rPr>
      </w:pPr>
      <w:r w:rsidRPr="00CB3CA4">
        <w:rPr>
          <w:rFonts w:ascii="Calibri" w:hAnsi="Calibri"/>
          <w:b/>
          <w:color w:val="000000"/>
          <w:sz w:val="22"/>
          <w:szCs w:val="22"/>
          <w:lang w:val="lt-LT"/>
        </w:rPr>
        <w:t xml:space="preserve">          4. DOKUMENTAI, REIKALAUJAMI PASLAUGŲ TECHNINIŲ SAVYBIŲ IR KOKYBĖS PATVIRTINIMUI</w:t>
      </w:r>
    </w:p>
    <w:p w14:paraId="702AAB35" w14:textId="6B3741AF" w:rsidR="000F0D4B" w:rsidRPr="00CB3CA4" w:rsidRDefault="000F0D4B" w:rsidP="000F0D4B">
      <w:pPr>
        <w:jc w:val="both"/>
        <w:rPr>
          <w:rFonts w:ascii="Calibri" w:hAnsi="Calibri"/>
          <w:b/>
          <w:color w:val="000000"/>
          <w:sz w:val="22"/>
          <w:szCs w:val="22"/>
          <w:lang w:val="lt-LT"/>
        </w:rPr>
      </w:pPr>
      <w:r w:rsidRPr="00CB3CA4">
        <w:rPr>
          <w:rFonts w:ascii="Calibri" w:hAnsi="Calibri"/>
          <w:b/>
          <w:color w:val="000000"/>
          <w:sz w:val="22"/>
          <w:szCs w:val="22"/>
          <w:lang w:val="lt-LT"/>
        </w:rPr>
        <w:t xml:space="preserve">          4.</w:t>
      </w:r>
      <w:r w:rsidR="00CB3CA4" w:rsidRPr="00CB3CA4">
        <w:rPr>
          <w:rFonts w:ascii="Calibri" w:hAnsi="Calibri"/>
          <w:b/>
          <w:color w:val="000000"/>
          <w:sz w:val="22"/>
          <w:szCs w:val="22"/>
          <w:lang w:val="lt-LT"/>
        </w:rPr>
        <w:t>1</w:t>
      </w:r>
      <w:r w:rsidRPr="00CB3CA4">
        <w:rPr>
          <w:rFonts w:ascii="Calibri" w:hAnsi="Calibri"/>
          <w:b/>
          <w:color w:val="000000"/>
          <w:sz w:val="22"/>
          <w:szCs w:val="22"/>
          <w:lang w:val="lt-LT"/>
        </w:rPr>
        <w:t xml:space="preserve">. DOKUMENTAI, REIKALAUJAMI PRISTATYTI PERDUODANT PASLAUGAS </w:t>
      </w:r>
    </w:p>
    <w:p w14:paraId="2FF7066B" w14:textId="2A4DC8FF" w:rsidR="000F0D4B" w:rsidRPr="00CB3CA4" w:rsidRDefault="000F0D4B" w:rsidP="00CB3CA4">
      <w:pPr>
        <w:pStyle w:val="ListParagraph"/>
        <w:numPr>
          <w:ilvl w:val="2"/>
          <w:numId w:val="22"/>
        </w:numPr>
        <w:ind w:left="0" w:firstLine="566"/>
        <w:jc w:val="both"/>
        <w:rPr>
          <w:rFonts w:ascii="Calibri" w:hAnsi="Calibri"/>
          <w:color w:val="000000"/>
          <w:sz w:val="22"/>
          <w:szCs w:val="22"/>
          <w:lang w:val="lt-LT"/>
        </w:rPr>
      </w:pPr>
      <w:r w:rsidRPr="00CB3CA4">
        <w:rPr>
          <w:rFonts w:ascii="Calibri" w:hAnsi="Calibri"/>
          <w:color w:val="000000"/>
          <w:sz w:val="22"/>
          <w:szCs w:val="22"/>
          <w:lang w:val="lt-LT"/>
        </w:rPr>
        <w:t>Paslaugos teikėjas, atlikęs kiekvieną paslaugą, turi pateikti įrenginio techninės būklės tikrinimo ataskaitą;</w:t>
      </w:r>
    </w:p>
    <w:p w14:paraId="32BDFB95" w14:textId="1425B9D2" w:rsidR="000F0D4B" w:rsidRPr="00CB3CA4" w:rsidRDefault="000F0D4B" w:rsidP="00CB3CA4">
      <w:pPr>
        <w:pStyle w:val="ListParagraph"/>
        <w:numPr>
          <w:ilvl w:val="2"/>
          <w:numId w:val="22"/>
        </w:numPr>
        <w:ind w:left="0" w:firstLine="566"/>
        <w:jc w:val="both"/>
        <w:rPr>
          <w:rFonts w:ascii="Calibri" w:hAnsi="Calibri"/>
          <w:color w:val="000000"/>
          <w:sz w:val="22"/>
          <w:szCs w:val="22"/>
          <w:lang w:val="lt-LT"/>
        </w:rPr>
      </w:pPr>
      <w:r w:rsidRPr="00CB3CA4">
        <w:rPr>
          <w:rFonts w:ascii="Calibri" w:hAnsi="Calibri"/>
          <w:color w:val="000000"/>
          <w:sz w:val="22"/>
          <w:szCs w:val="22"/>
          <w:lang w:val="lt-LT"/>
        </w:rPr>
        <w:t>Suteiktų paslaugų priėmimo – perdavimo aktą;</w:t>
      </w:r>
    </w:p>
    <w:p w14:paraId="3D694C42" w14:textId="3DB66F40" w:rsidR="000F0D4B" w:rsidRPr="00CB3CA4" w:rsidRDefault="000F0D4B" w:rsidP="00CB3CA4">
      <w:pPr>
        <w:pStyle w:val="ListParagraph"/>
        <w:numPr>
          <w:ilvl w:val="2"/>
          <w:numId w:val="22"/>
        </w:numPr>
        <w:ind w:left="0" w:firstLine="566"/>
        <w:jc w:val="both"/>
        <w:rPr>
          <w:rFonts w:ascii="Calibri" w:hAnsi="Calibri"/>
          <w:color w:val="000000"/>
          <w:sz w:val="22"/>
          <w:szCs w:val="22"/>
          <w:lang w:val="lt-LT"/>
        </w:rPr>
      </w:pPr>
      <w:r w:rsidRPr="00CB3CA4">
        <w:rPr>
          <w:rFonts w:ascii="Calibri" w:hAnsi="Calibri"/>
          <w:color w:val="000000"/>
          <w:sz w:val="22"/>
          <w:szCs w:val="22"/>
          <w:lang w:val="lt-LT"/>
        </w:rPr>
        <w:t>PVM sąskaitą faktūrą už faktiškai suteiktas paslaugas.</w:t>
      </w:r>
    </w:p>
    <w:p w14:paraId="5B01671A" w14:textId="77777777" w:rsidR="00DC6215" w:rsidRPr="00CB3CA4" w:rsidRDefault="00DC6215" w:rsidP="00355C40">
      <w:pPr>
        <w:shd w:val="clear" w:color="auto" w:fill="FFFFFF"/>
        <w:tabs>
          <w:tab w:val="left" w:pos="709"/>
        </w:tabs>
        <w:ind w:firstLine="284"/>
        <w:jc w:val="both"/>
        <w:rPr>
          <w:rFonts w:ascii="Calibri" w:hAnsi="Calibri" w:cs="Calibri Light"/>
          <w:b/>
          <w:sz w:val="22"/>
          <w:szCs w:val="22"/>
          <w:lang w:val="lt-LT"/>
        </w:rPr>
      </w:pPr>
    </w:p>
    <w:p w14:paraId="0F803566" w14:textId="4C2FC962" w:rsidR="00B32365" w:rsidRPr="00CB3CA4" w:rsidRDefault="00CB3CA4" w:rsidP="00CB3CA4">
      <w:pPr>
        <w:shd w:val="clear" w:color="auto" w:fill="FFFFFF"/>
        <w:tabs>
          <w:tab w:val="left" w:pos="709"/>
        </w:tabs>
        <w:jc w:val="both"/>
        <w:rPr>
          <w:lang w:val="lt-LT"/>
        </w:rPr>
      </w:pPr>
      <w:r w:rsidRPr="00CB3CA4">
        <w:rPr>
          <w:rFonts w:ascii="Calibri" w:hAnsi="Calibri" w:cs="Calibri Light"/>
          <w:sz w:val="22"/>
          <w:szCs w:val="22"/>
          <w:lang w:val="lt-LT"/>
        </w:rPr>
        <w:tab/>
      </w:r>
      <w:r w:rsidR="00711826" w:rsidRPr="00CB3CA4">
        <w:rPr>
          <w:rFonts w:ascii="Calibri" w:hAnsi="Calibri" w:cs="Calibri Light"/>
          <w:sz w:val="22"/>
          <w:szCs w:val="22"/>
          <w:lang w:val="lt-LT"/>
        </w:rPr>
        <w:t xml:space="preserve">PRIDEDAMA: </w:t>
      </w:r>
      <w:r w:rsidRPr="00CB3CA4">
        <w:rPr>
          <w:rFonts w:ascii="Calibri" w:hAnsi="Calibri" w:cs="Calibri Light"/>
          <w:sz w:val="22"/>
          <w:szCs w:val="22"/>
          <w:lang w:val="lt-LT"/>
        </w:rPr>
        <w:t>Potencialiai pavojingų įrenginių sąrašas</w:t>
      </w:r>
      <w:r w:rsidR="0033786B" w:rsidRPr="00CB3CA4">
        <w:rPr>
          <w:rFonts w:ascii="Calibri" w:hAnsi="Calibri" w:cs="Calibri Light"/>
          <w:sz w:val="22"/>
          <w:szCs w:val="22"/>
          <w:lang w:val="lt-LT"/>
        </w:rPr>
        <w:t>.</w:t>
      </w:r>
      <w:r w:rsidRPr="00CB3CA4" w:rsidDel="00CB3CA4">
        <w:rPr>
          <w:rFonts w:ascii="Calibri" w:hAnsi="Calibri" w:cs="Calibri Light"/>
          <w:sz w:val="22"/>
          <w:szCs w:val="22"/>
          <w:lang w:val="lt-LT"/>
        </w:rPr>
        <w:t xml:space="preserve"> </w:t>
      </w:r>
    </w:p>
    <w:sectPr w:rsidR="00B32365" w:rsidRPr="00CB3CA4" w:rsidSect="00EF7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567" w:bottom="851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87E25" w14:textId="77777777" w:rsidR="00E33D0A" w:rsidRDefault="00E33D0A" w:rsidP="00A443FF">
      <w:r>
        <w:separator/>
      </w:r>
    </w:p>
  </w:endnote>
  <w:endnote w:type="continuationSeparator" w:id="0">
    <w:p w14:paraId="2C50B450" w14:textId="77777777" w:rsidR="00E33D0A" w:rsidRDefault="00E33D0A" w:rsidP="00A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BA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3BA15" w14:textId="77777777" w:rsidR="00AF0699" w:rsidRDefault="00AF0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43B30" w14:textId="77777777" w:rsidR="0035227E" w:rsidRPr="00D749EF" w:rsidRDefault="0035227E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E668" w14:textId="77777777" w:rsidR="00AF0699" w:rsidRDefault="00AF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158A2" w14:textId="77777777" w:rsidR="00E33D0A" w:rsidRDefault="00E33D0A" w:rsidP="00A443FF">
      <w:r>
        <w:separator/>
      </w:r>
    </w:p>
  </w:footnote>
  <w:footnote w:type="continuationSeparator" w:id="0">
    <w:p w14:paraId="5107854C" w14:textId="77777777" w:rsidR="00E33D0A" w:rsidRDefault="00E33D0A" w:rsidP="00A4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0E32" w14:textId="77777777" w:rsidR="00AF0699" w:rsidRDefault="00AF0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DA9A" w14:textId="4305AFA3" w:rsidR="00796711" w:rsidRDefault="00796711" w:rsidP="00796711">
    <w:pPr>
      <w:pStyle w:val="Header"/>
      <w:jc w:val="right"/>
    </w:pPr>
    <w:r>
      <w:rPr>
        <w:noProof/>
        <w:lang w:val="lt-LT" w:eastAsia="lt-LT"/>
      </w:rPr>
      <w:drawing>
        <wp:anchor distT="0" distB="0" distL="114300" distR="114300" simplePos="0" relativeHeight="251668480" behindDoc="1" locked="0" layoutInCell="1" allowOverlap="1" wp14:anchorId="6336AE0F" wp14:editId="15DEB3E3">
          <wp:simplePos x="0" y="0"/>
          <wp:positionH relativeFrom="page">
            <wp:align>right</wp:align>
          </wp:positionH>
          <wp:positionV relativeFrom="paragraph">
            <wp:posOffset>-135255</wp:posOffset>
          </wp:positionV>
          <wp:extent cx="7548594" cy="106775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G_blankas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DE6" w:rsidRPr="00033C34" w:rsidDel="007A1DE6">
      <w:t xml:space="preserve"> </w:t>
    </w:r>
    <w:r>
      <w:t xml:space="preserve">1 </w:t>
    </w:r>
    <w:proofErr w:type="spellStart"/>
    <w:r w:rsidRPr="00033C34">
      <w:t>priedas</w:t>
    </w:r>
    <w:proofErr w:type="spellEnd"/>
  </w:p>
  <w:p w14:paraId="141D32CE" w14:textId="6A9AE14B" w:rsidR="0035227E" w:rsidRDefault="0035227E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  <w:rPr>
        <w14:props3d w14:extrusionH="57150" w14:contourW="0" w14:prstMaterial="none">
          <w14:extrusionClr>
            <w14:schemeClr w14:val="bg1"/>
          </w14:extrusionClr>
        </w14:props3d>
      </w:rPr>
    </w:pPr>
  </w:p>
  <w:p w14:paraId="3F32B9EA" w14:textId="77777777" w:rsidR="0035227E" w:rsidRPr="00393555" w:rsidRDefault="0035227E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  <w:rPr>
        <w14:props3d w14:extrusionH="57150" w14:contourW="0" w14:prstMaterial="none">
          <w14:extrusionClr>
            <w14:schemeClr w14:val="bg1"/>
          </w14:extrusionClr>
        </w14:props3d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F264" w14:textId="77777777" w:rsidR="00AF0699" w:rsidRDefault="00AF0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8B4"/>
    <w:multiLevelType w:val="multilevel"/>
    <w:tmpl w:val="229E755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20FB766C"/>
    <w:multiLevelType w:val="hybridMultilevel"/>
    <w:tmpl w:val="A3742FA2"/>
    <w:lvl w:ilvl="0" w:tplc="C3982A9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F7204"/>
    <w:multiLevelType w:val="multilevel"/>
    <w:tmpl w:val="A08CB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6C1ACE"/>
    <w:multiLevelType w:val="hybridMultilevel"/>
    <w:tmpl w:val="EFEA7220"/>
    <w:lvl w:ilvl="0" w:tplc="D48CA842">
      <w:start w:val="1"/>
      <w:numFmt w:val="decimal"/>
      <w:lvlText w:val="3.3.%1."/>
      <w:lvlJc w:val="left"/>
      <w:pPr>
        <w:ind w:left="128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B304A"/>
    <w:multiLevelType w:val="hybridMultilevel"/>
    <w:tmpl w:val="F1F4A4F2"/>
    <w:lvl w:ilvl="0" w:tplc="8E54A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D822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316DBE"/>
    <w:multiLevelType w:val="multilevel"/>
    <w:tmpl w:val="E3BE91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decimal"/>
      <w:suff w:val="space"/>
      <w:lvlText w:val="3.%2."/>
      <w:lvlJc w:val="left"/>
      <w:pPr>
        <w:ind w:left="142" w:firstLine="0"/>
      </w:pPr>
      <w:rPr>
        <w:rFonts w:hint="default"/>
        <w:b/>
      </w:rPr>
    </w:lvl>
    <w:lvl w:ilvl="2">
      <w:start w:val="1"/>
      <w:numFmt w:val="decimal"/>
      <w:suff w:val="space"/>
      <w:lvlText w:val="3.%2.%3."/>
      <w:lvlJc w:val="left"/>
      <w:pPr>
        <w:ind w:left="1277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426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3F7707"/>
    <w:multiLevelType w:val="multilevel"/>
    <w:tmpl w:val="4A306DE0"/>
    <w:lvl w:ilvl="0">
      <w:start w:val="1"/>
      <w:numFmt w:val="none"/>
      <w:lvlText w:val="3.2.5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none"/>
      <w:lvlText w:val="3.2.5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8" w15:restartNumberingAfterBreak="0">
    <w:nsid w:val="62A65311"/>
    <w:multiLevelType w:val="multilevel"/>
    <w:tmpl w:val="13E22D3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8" w:hanging="1800"/>
      </w:pPr>
      <w:rPr>
        <w:rFonts w:hint="default"/>
      </w:rPr>
    </w:lvl>
  </w:abstractNum>
  <w:abstractNum w:abstractNumId="9" w15:restartNumberingAfterBreak="0">
    <w:nsid w:val="633C3332"/>
    <w:multiLevelType w:val="multilevel"/>
    <w:tmpl w:val="7500E2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5BB14CE"/>
    <w:multiLevelType w:val="hybridMultilevel"/>
    <w:tmpl w:val="B54CB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C29C3"/>
    <w:multiLevelType w:val="hybridMultilevel"/>
    <w:tmpl w:val="4C0CC512"/>
    <w:lvl w:ilvl="0" w:tplc="0427000F">
      <w:start w:val="1"/>
      <w:numFmt w:val="decimal"/>
      <w:lvlText w:val="%1."/>
      <w:lvlJc w:val="left"/>
      <w:pPr>
        <w:ind w:left="1461" w:hanging="360"/>
      </w:pPr>
    </w:lvl>
    <w:lvl w:ilvl="1" w:tplc="04270019">
      <w:start w:val="1"/>
      <w:numFmt w:val="lowerLetter"/>
      <w:lvlText w:val="%2."/>
      <w:lvlJc w:val="left"/>
      <w:pPr>
        <w:ind w:left="2181" w:hanging="360"/>
      </w:pPr>
    </w:lvl>
    <w:lvl w:ilvl="2" w:tplc="0427001B">
      <w:start w:val="1"/>
      <w:numFmt w:val="lowerRoman"/>
      <w:lvlText w:val="%3."/>
      <w:lvlJc w:val="right"/>
      <w:pPr>
        <w:ind w:left="2901" w:hanging="180"/>
      </w:pPr>
    </w:lvl>
    <w:lvl w:ilvl="3" w:tplc="0427000F">
      <w:start w:val="1"/>
      <w:numFmt w:val="decimal"/>
      <w:lvlText w:val="%4."/>
      <w:lvlJc w:val="left"/>
      <w:pPr>
        <w:ind w:left="3621" w:hanging="360"/>
      </w:pPr>
    </w:lvl>
    <w:lvl w:ilvl="4" w:tplc="04270019">
      <w:start w:val="1"/>
      <w:numFmt w:val="lowerLetter"/>
      <w:lvlText w:val="%5."/>
      <w:lvlJc w:val="left"/>
      <w:pPr>
        <w:ind w:left="4341" w:hanging="360"/>
      </w:pPr>
    </w:lvl>
    <w:lvl w:ilvl="5" w:tplc="0427001B">
      <w:start w:val="1"/>
      <w:numFmt w:val="lowerRoman"/>
      <w:lvlText w:val="%6."/>
      <w:lvlJc w:val="right"/>
      <w:pPr>
        <w:ind w:left="5061" w:hanging="180"/>
      </w:pPr>
    </w:lvl>
    <w:lvl w:ilvl="6" w:tplc="0427000F">
      <w:start w:val="1"/>
      <w:numFmt w:val="decimal"/>
      <w:lvlText w:val="%7."/>
      <w:lvlJc w:val="left"/>
      <w:pPr>
        <w:ind w:left="5781" w:hanging="360"/>
      </w:pPr>
    </w:lvl>
    <w:lvl w:ilvl="7" w:tplc="04270019">
      <w:start w:val="1"/>
      <w:numFmt w:val="lowerLetter"/>
      <w:lvlText w:val="%8."/>
      <w:lvlJc w:val="left"/>
      <w:pPr>
        <w:ind w:left="6501" w:hanging="360"/>
      </w:pPr>
    </w:lvl>
    <w:lvl w:ilvl="8" w:tplc="0427001B">
      <w:start w:val="1"/>
      <w:numFmt w:val="lowerRoman"/>
      <w:lvlText w:val="%9."/>
      <w:lvlJc w:val="right"/>
      <w:pPr>
        <w:ind w:left="7221" w:hanging="180"/>
      </w:pPr>
    </w:lvl>
  </w:abstractNum>
  <w:abstractNum w:abstractNumId="12" w15:restartNumberingAfterBreak="0">
    <w:nsid w:val="66CA23E3"/>
    <w:multiLevelType w:val="multilevel"/>
    <w:tmpl w:val="42AABED0"/>
    <w:lvl w:ilvl="0">
      <w:start w:val="1"/>
      <w:numFmt w:val="none"/>
      <w:lvlText w:val="3.2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2.5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F31A5D"/>
    <w:multiLevelType w:val="hybridMultilevel"/>
    <w:tmpl w:val="55A2A966"/>
    <w:lvl w:ilvl="0" w:tplc="264C9BE2">
      <w:start w:val="1"/>
      <w:numFmt w:val="decimal"/>
      <w:lvlText w:val="4.2.%1."/>
      <w:lvlJc w:val="left"/>
      <w:pPr>
        <w:ind w:left="18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538F5"/>
    <w:multiLevelType w:val="hybridMultilevel"/>
    <w:tmpl w:val="48CAFDD2"/>
    <w:lvl w:ilvl="0" w:tplc="C3982A9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B994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E1B16"/>
    <w:multiLevelType w:val="hybridMultilevel"/>
    <w:tmpl w:val="B6962BB2"/>
    <w:lvl w:ilvl="0" w:tplc="70CCB7F4">
      <w:start w:val="1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9FE02D9"/>
    <w:multiLevelType w:val="multilevel"/>
    <w:tmpl w:val="E6B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96129"/>
    <w:multiLevelType w:val="multilevel"/>
    <w:tmpl w:val="366C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4362" w:hanging="720"/>
      </w:pPr>
    </w:lvl>
    <w:lvl w:ilvl="3">
      <w:start w:val="1"/>
      <w:numFmt w:val="decimal"/>
      <w:lvlText w:val="%1.%2.%3.%4."/>
      <w:lvlJc w:val="left"/>
      <w:pPr>
        <w:ind w:left="6183" w:hanging="720"/>
      </w:pPr>
    </w:lvl>
    <w:lvl w:ilvl="4">
      <w:start w:val="1"/>
      <w:numFmt w:val="decimal"/>
      <w:lvlText w:val="%1.%2.%3.%4.%5."/>
      <w:lvlJc w:val="left"/>
      <w:pPr>
        <w:ind w:left="8364" w:hanging="1080"/>
      </w:pPr>
    </w:lvl>
    <w:lvl w:ilvl="5">
      <w:start w:val="1"/>
      <w:numFmt w:val="decimal"/>
      <w:lvlText w:val="%1.%2.%3.%4.%5.%6."/>
      <w:lvlJc w:val="left"/>
      <w:pPr>
        <w:ind w:left="10185" w:hanging="1080"/>
      </w:pPr>
    </w:lvl>
    <w:lvl w:ilvl="6">
      <w:start w:val="1"/>
      <w:numFmt w:val="decimal"/>
      <w:lvlText w:val="%1.%2.%3.%4.%5.%6.%7."/>
      <w:lvlJc w:val="left"/>
      <w:pPr>
        <w:ind w:left="12366" w:hanging="1440"/>
      </w:pPr>
    </w:lvl>
    <w:lvl w:ilvl="7">
      <w:start w:val="1"/>
      <w:numFmt w:val="decimal"/>
      <w:lvlText w:val="%1.%2.%3.%4.%5.%6.%7.%8."/>
      <w:lvlJc w:val="left"/>
      <w:pPr>
        <w:ind w:left="14187" w:hanging="1440"/>
      </w:pPr>
    </w:lvl>
    <w:lvl w:ilvl="8">
      <w:start w:val="1"/>
      <w:numFmt w:val="decimal"/>
      <w:lvlText w:val="%1.%2.%3.%4.%5.%6.%7.%8.%9."/>
      <w:lvlJc w:val="left"/>
      <w:pPr>
        <w:ind w:left="16368" w:hanging="1800"/>
      </w:pPr>
    </w:lvl>
  </w:abstractNum>
  <w:abstractNum w:abstractNumId="18" w15:restartNumberingAfterBreak="0">
    <w:nsid w:val="762700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26053"/>
    <w:multiLevelType w:val="multilevel"/>
    <w:tmpl w:val="24AEA9B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</w:num>
  <w:num w:numId="7">
    <w:abstractNumId w:val="14"/>
  </w:num>
  <w:num w:numId="8">
    <w:abstractNumId w:val="1"/>
  </w:num>
  <w:num w:numId="9">
    <w:abstractNumId w:val="16"/>
  </w:num>
  <w:num w:numId="10">
    <w:abstractNumId w:val="11"/>
  </w:num>
  <w:num w:numId="11">
    <w:abstractNumId w:val="15"/>
  </w:num>
  <w:num w:numId="12">
    <w:abstractNumId w:val="18"/>
  </w:num>
  <w:num w:numId="13">
    <w:abstractNumId w:val="5"/>
  </w:num>
  <w:num w:numId="14">
    <w:abstractNumId w:val="7"/>
  </w:num>
  <w:num w:numId="15">
    <w:abstractNumId w:val="12"/>
  </w:num>
  <w:num w:numId="16">
    <w:abstractNumId w:val="20"/>
  </w:num>
  <w:num w:numId="17">
    <w:abstractNumId w:val="10"/>
  </w:num>
  <w:num w:numId="18">
    <w:abstractNumId w:val="4"/>
  </w:num>
  <w:num w:numId="19">
    <w:abstractNumId w:val="9"/>
  </w:num>
  <w:num w:numId="20">
    <w:abstractNumId w:val="3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2496D"/>
    <w:rsid w:val="00027A45"/>
    <w:rsid w:val="00036303"/>
    <w:rsid w:val="0004429B"/>
    <w:rsid w:val="00046564"/>
    <w:rsid w:val="00053655"/>
    <w:rsid w:val="0005666A"/>
    <w:rsid w:val="00064AA3"/>
    <w:rsid w:val="00066137"/>
    <w:rsid w:val="000834E9"/>
    <w:rsid w:val="000853C5"/>
    <w:rsid w:val="000979B0"/>
    <w:rsid w:val="000A07ED"/>
    <w:rsid w:val="000A3CA7"/>
    <w:rsid w:val="000B109B"/>
    <w:rsid w:val="000B179C"/>
    <w:rsid w:val="000B5358"/>
    <w:rsid w:val="000C2098"/>
    <w:rsid w:val="000E3B31"/>
    <w:rsid w:val="000F0D4B"/>
    <w:rsid w:val="00105FBD"/>
    <w:rsid w:val="00106194"/>
    <w:rsid w:val="0012410E"/>
    <w:rsid w:val="001340EF"/>
    <w:rsid w:val="00140E8B"/>
    <w:rsid w:val="001508CE"/>
    <w:rsid w:val="00157391"/>
    <w:rsid w:val="0016341B"/>
    <w:rsid w:val="0016381C"/>
    <w:rsid w:val="00177A2E"/>
    <w:rsid w:val="0018199B"/>
    <w:rsid w:val="001A327D"/>
    <w:rsid w:val="001A3D39"/>
    <w:rsid w:val="001A5F04"/>
    <w:rsid w:val="001A7180"/>
    <w:rsid w:val="001C108F"/>
    <w:rsid w:val="001E3542"/>
    <w:rsid w:val="001E42A8"/>
    <w:rsid w:val="00201164"/>
    <w:rsid w:val="002020EB"/>
    <w:rsid w:val="00220180"/>
    <w:rsid w:val="0022496A"/>
    <w:rsid w:val="002354C0"/>
    <w:rsid w:val="00237616"/>
    <w:rsid w:val="0024535D"/>
    <w:rsid w:val="00280C68"/>
    <w:rsid w:val="00284FC6"/>
    <w:rsid w:val="00294381"/>
    <w:rsid w:val="002A77AD"/>
    <w:rsid w:val="002E267E"/>
    <w:rsid w:val="002E5B2A"/>
    <w:rsid w:val="002F545C"/>
    <w:rsid w:val="00303080"/>
    <w:rsid w:val="00305178"/>
    <w:rsid w:val="00323DDE"/>
    <w:rsid w:val="00323E07"/>
    <w:rsid w:val="0033786B"/>
    <w:rsid w:val="00340A09"/>
    <w:rsid w:val="00340C46"/>
    <w:rsid w:val="00343EEE"/>
    <w:rsid w:val="00344F7C"/>
    <w:rsid w:val="0035227E"/>
    <w:rsid w:val="00355C40"/>
    <w:rsid w:val="00374867"/>
    <w:rsid w:val="003749D9"/>
    <w:rsid w:val="003800A2"/>
    <w:rsid w:val="00393555"/>
    <w:rsid w:val="003961B3"/>
    <w:rsid w:val="003A7729"/>
    <w:rsid w:val="003B3BE3"/>
    <w:rsid w:val="003B72B8"/>
    <w:rsid w:val="003C750C"/>
    <w:rsid w:val="003D2961"/>
    <w:rsid w:val="003D3690"/>
    <w:rsid w:val="003D38D9"/>
    <w:rsid w:val="003D42B3"/>
    <w:rsid w:val="003D6095"/>
    <w:rsid w:val="003E0841"/>
    <w:rsid w:val="003E16B2"/>
    <w:rsid w:val="0041050B"/>
    <w:rsid w:val="00427883"/>
    <w:rsid w:val="00440FCB"/>
    <w:rsid w:val="004557AC"/>
    <w:rsid w:val="004602CE"/>
    <w:rsid w:val="00467B0D"/>
    <w:rsid w:val="0047630D"/>
    <w:rsid w:val="004820F3"/>
    <w:rsid w:val="004939A9"/>
    <w:rsid w:val="00497AF3"/>
    <w:rsid w:val="004A06F8"/>
    <w:rsid w:val="004A1C02"/>
    <w:rsid w:val="004A59DF"/>
    <w:rsid w:val="004A7319"/>
    <w:rsid w:val="004B16E8"/>
    <w:rsid w:val="004B25C2"/>
    <w:rsid w:val="004B3254"/>
    <w:rsid w:val="004C645F"/>
    <w:rsid w:val="004D2131"/>
    <w:rsid w:val="004D2703"/>
    <w:rsid w:val="004F1E9D"/>
    <w:rsid w:val="00517198"/>
    <w:rsid w:val="00526B7B"/>
    <w:rsid w:val="00531933"/>
    <w:rsid w:val="005453EA"/>
    <w:rsid w:val="0055728A"/>
    <w:rsid w:val="00565487"/>
    <w:rsid w:val="00583943"/>
    <w:rsid w:val="005A1D81"/>
    <w:rsid w:val="005C3591"/>
    <w:rsid w:val="005C3F64"/>
    <w:rsid w:val="005D44DD"/>
    <w:rsid w:val="005F0F16"/>
    <w:rsid w:val="005F7254"/>
    <w:rsid w:val="00607658"/>
    <w:rsid w:val="00615F2B"/>
    <w:rsid w:val="006225F9"/>
    <w:rsid w:val="006342DD"/>
    <w:rsid w:val="00636861"/>
    <w:rsid w:val="006403CC"/>
    <w:rsid w:val="00641DDE"/>
    <w:rsid w:val="00650A72"/>
    <w:rsid w:val="00661F46"/>
    <w:rsid w:val="00665A61"/>
    <w:rsid w:val="00666637"/>
    <w:rsid w:val="006812D5"/>
    <w:rsid w:val="00695494"/>
    <w:rsid w:val="00696AA0"/>
    <w:rsid w:val="006A32B4"/>
    <w:rsid w:val="006B1ADB"/>
    <w:rsid w:val="006D454B"/>
    <w:rsid w:val="006D50FE"/>
    <w:rsid w:val="006E6C7A"/>
    <w:rsid w:val="006E798C"/>
    <w:rsid w:val="00705E54"/>
    <w:rsid w:val="00711826"/>
    <w:rsid w:val="00714017"/>
    <w:rsid w:val="00716C00"/>
    <w:rsid w:val="00734A6D"/>
    <w:rsid w:val="007439BE"/>
    <w:rsid w:val="0074529B"/>
    <w:rsid w:val="007660E3"/>
    <w:rsid w:val="00777155"/>
    <w:rsid w:val="00781246"/>
    <w:rsid w:val="00785103"/>
    <w:rsid w:val="007865DD"/>
    <w:rsid w:val="00786E04"/>
    <w:rsid w:val="00796711"/>
    <w:rsid w:val="0079680A"/>
    <w:rsid w:val="007A1109"/>
    <w:rsid w:val="007A1DE6"/>
    <w:rsid w:val="007A56FF"/>
    <w:rsid w:val="007A7DEB"/>
    <w:rsid w:val="007C1939"/>
    <w:rsid w:val="007E3BD0"/>
    <w:rsid w:val="007E6EEF"/>
    <w:rsid w:val="007F0EB6"/>
    <w:rsid w:val="007F35E4"/>
    <w:rsid w:val="00803EC0"/>
    <w:rsid w:val="00804335"/>
    <w:rsid w:val="0080457F"/>
    <w:rsid w:val="00821930"/>
    <w:rsid w:val="00822505"/>
    <w:rsid w:val="00844FB7"/>
    <w:rsid w:val="00846AAD"/>
    <w:rsid w:val="0086791E"/>
    <w:rsid w:val="00875601"/>
    <w:rsid w:val="008816BA"/>
    <w:rsid w:val="008C7FDB"/>
    <w:rsid w:val="008E7C52"/>
    <w:rsid w:val="00904651"/>
    <w:rsid w:val="00917A2C"/>
    <w:rsid w:val="009241D3"/>
    <w:rsid w:val="00924BE9"/>
    <w:rsid w:val="00926D74"/>
    <w:rsid w:val="00956A2A"/>
    <w:rsid w:val="00965D71"/>
    <w:rsid w:val="00970FCA"/>
    <w:rsid w:val="009872FA"/>
    <w:rsid w:val="00987CFC"/>
    <w:rsid w:val="00992C79"/>
    <w:rsid w:val="0099454C"/>
    <w:rsid w:val="009B1A44"/>
    <w:rsid w:val="009E1D4D"/>
    <w:rsid w:val="009E42D2"/>
    <w:rsid w:val="009E7CD1"/>
    <w:rsid w:val="009F231E"/>
    <w:rsid w:val="00A02006"/>
    <w:rsid w:val="00A110B7"/>
    <w:rsid w:val="00A12316"/>
    <w:rsid w:val="00A1458B"/>
    <w:rsid w:val="00A339E1"/>
    <w:rsid w:val="00A443FF"/>
    <w:rsid w:val="00A54191"/>
    <w:rsid w:val="00A57CEA"/>
    <w:rsid w:val="00A71609"/>
    <w:rsid w:val="00A823D8"/>
    <w:rsid w:val="00A87976"/>
    <w:rsid w:val="00A92540"/>
    <w:rsid w:val="00A93769"/>
    <w:rsid w:val="00A95308"/>
    <w:rsid w:val="00AA1761"/>
    <w:rsid w:val="00AA1A08"/>
    <w:rsid w:val="00AF0699"/>
    <w:rsid w:val="00B0087C"/>
    <w:rsid w:val="00B06C5E"/>
    <w:rsid w:val="00B1586C"/>
    <w:rsid w:val="00B25870"/>
    <w:rsid w:val="00B32365"/>
    <w:rsid w:val="00B33704"/>
    <w:rsid w:val="00B479E7"/>
    <w:rsid w:val="00B50A3F"/>
    <w:rsid w:val="00B55A05"/>
    <w:rsid w:val="00B66DE2"/>
    <w:rsid w:val="00B75944"/>
    <w:rsid w:val="00B75F65"/>
    <w:rsid w:val="00B807DB"/>
    <w:rsid w:val="00B85AB8"/>
    <w:rsid w:val="00B93FF1"/>
    <w:rsid w:val="00BA6EB5"/>
    <w:rsid w:val="00BC6BD0"/>
    <w:rsid w:val="00BD01BE"/>
    <w:rsid w:val="00BD4875"/>
    <w:rsid w:val="00BF2622"/>
    <w:rsid w:val="00C12EB3"/>
    <w:rsid w:val="00C22C32"/>
    <w:rsid w:val="00C23FDA"/>
    <w:rsid w:val="00C27C14"/>
    <w:rsid w:val="00C319FF"/>
    <w:rsid w:val="00C34533"/>
    <w:rsid w:val="00C40AAE"/>
    <w:rsid w:val="00C72D84"/>
    <w:rsid w:val="00C84277"/>
    <w:rsid w:val="00C90C7F"/>
    <w:rsid w:val="00CA7C23"/>
    <w:rsid w:val="00CB3CA4"/>
    <w:rsid w:val="00CF0B7D"/>
    <w:rsid w:val="00CF7103"/>
    <w:rsid w:val="00D05B91"/>
    <w:rsid w:val="00D17CB0"/>
    <w:rsid w:val="00D313B6"/>
    <w:rsid w:val="00D53C69"/>
    <w:rsid w:val="00D749EF"/>
    <w:rsid w:val="00D7674B"/>
    <w:rsid w:val="00DA5B81"/>
    <w:rsid w:val="00DA5CC2"/>
    <w:rsid w:val="00DA5DA3"/>
    <w:rsid w:val="00DB46C9"/>
    <w:rsid w:val="00DC6215"/>
    <w:rsid w:val="00DD0B40"/>
    <w:rsid w:val="00DE3C85"/>
    <w:rsid w:val="00E33465"/>
    <w:rsid w:val="00E33D0A"/>
    <w:rsid w:val="00E42F88"/>
    <w:rsid w:val="00E57C38"/>
    <w:rsid w:val="00E61831"/>
    <w:rsid w:val="00E73420"/>
    <w:rsid w:val="00E80FB9"/>
    <w:rsid w:val="00EA7AC7"/>
    <w:rsid w:val="00ED1D83"/>
    <w:rsid w:val="00ED3D7C"/>
    <w:rsid w:val="00EE423A"/>
    <w:rsid w:val="00EE7AFE"/>
    <w:rsid w:val="00EF10C4"/>
    <w:rsid w:val="00EF5D3E"/>
    <w:rsid w:val="00EF7F60"/>
    <w:rsid w:val="00F01756"/>
    <w:rsid w:val="00F04262"/>
    <w:rsid w:val="00F0726F"/>
    <w:rsid w:val="00F11561"/>
    <w:rsid w:val="00F11790"/>
    <w:rsid w:val="00F1427D"/>
    <w:rsid w:val="00F20522"/>
    <w:rsid w:val="00F27ECF"/>
    <w:rsid w:val="00F34432"/>
    <w:rsid w:val="00F42786"/>
    <w:rsid w:val="00F4328A"/>
    <w:rsid w:val="00F50B71"/>
    <w:rsid w:val="00F63C1E"/>
    <w:rsid w:val="00F72793"/>
    <w:rsid w:val="00F75726"/>
    <w:rsid w:val="00F77FBF"/>
    <w:rsid w:val="00F8349B"/>
    <w:rsid w:val="00F868E3"/>
    <w:rsid w:val="00F91AA3"/>
    <w:rsid w:val="00FB3903"/>
    <w:rsid w:val="00FB4CFA"/>
    <w:rsid w:val="00FB780D"/>
    <w:rsid w:val="00FE1A66"/>
    <w:rsid w:val="00FE7A39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31E061"/>
  <w15:docId w15:val="{BC5C65D8-FAFF-4F9E-9C38-79F45FDE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4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F545C"/>
    <w:pPr>
      <w:ind w:left="720"/>
      <w:contextualSpacing/>
    </w:pPr>
  </w:style>
  <w:style w:type="table" w:styleId="TableGrid">
    <w:name w:val="Table Grid"/>
    <w:basedOn w:val="TableNorma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5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621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">
    <w:name w:val="Body text_"/>
    <w:link w:val="Bodytext1"/>
    <w:rsid w:val="00DC621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C6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DC6215"/>
    <w:pPr>
      <w:shd w:val="clear" w:color="auto" w:fill="FFFFFF"/>
      <w:spacing w:before="240" w:after="240" w:line="274" w:lineRule="exact"/>
      <w:ind w:hanging="1060"/>
    </w:pPr>
    <w:rPr>
      <w:rFonts w:eastAsiaTheme="minorHAnsi"/>
      <w:sz w:val="23"/>
      <w:szCs w:val="23"/>
      <w:lang w:val="lt-LT"/>
    </w:rPr>
  </w:style>
  <w:style w:type="paragraph" w:customStyle="1" w:styleId="Bodytext70">
    <w:name w:val="Body text (7)"/>
    <w:basedOn w:val="Normal"/>
    <w:link w:val="Bodytext7"/>
    <w:rsid w:val="00DC6215"/>
    <w:pPr>
      <w:shd w:val="clear" w:color="auto" w:fill="FFFFFF"/>
      <w:spacing w:before="60" w:after="60" w:line="240" w:lineRule="atLeast"/>
    </w:pPr>
    <w:rPr>
      <w:rFonts w:eastAsiaTheme="minorHAnsi"/>
      <w:sz w:val="23"/>
      <w:szCs w:val="23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0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0E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60E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86B"/>
    <w:rPr>
      <w:color w:val="605E5C"/>
      <w:shd w:val="clear" w:color="auto" w:fill="E1DFDD"/>
    </w:rPr>
  </w:style>
  <w:style w:type="paragraph" w:customStyle="1" w:styleId="Default">
    <w:name w:val="Default"/>
    <w:rsid w:val="000F0D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DA03-EB90-42C6-9B9A-2DE98269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Augustinas Bruožys</dc:creator>
  <cp:lastModifiedBy>Edita Mališkienė</cp:lastModifiedBy>
  <cp:revision>2</cp:revision>
  <cp:lastPrinted>2019-08-29T12:30:00Z</cp:lastPrinted>
  <dcterms:created xsi:type="dcterms:W3CDTF">2020-03-03T12:15:00Z</dcterms:created>
  <dcterms:modified xsi:type="dcterms:W3CDTF">2020-03-03T12:15:00Z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greta.ambrutyte@litrail.lt</vt:lpwstr>
  </property>
  <property fmtid="{D5CDD505-2E9C-101B-9397-08002B2CF9AE}" pid="5" name="MSIP_Label_cfcb905c-755b-4fd4-bd20-0d682d4f1d27_SetDate">
    <vt:lpwstr>2019-10-31T07:36:58.8771392Z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7990d9e8-ef87-473c-b9a5-9b7e51fca8b4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</Properties>
</file>