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703" w:rsidRPr="00B75703" w:rsidRDefault="00B75703" w:rsidP="00B75703">
      <w:pPr>
        <w:tabs>
          <w:tab w:val="left" w:pos="567"/>
        </w:tabs>
        <w:spacing w:after="0" w:line="240" w:lineRule="auto"/>
        <w:ind w:left="6237" w:right="-144"/>
        <w:jc w:val="both"/>
        <w:rPr>
          <w:rFonts w:ascii="Times New Roman" w:hAnsi="Times New Roman"/>
        </w:rPr>
      </w:pPr>
      <w:r>
        <w:rPr>
          <w:rFonts w:ascii="Times New Roman" w:hAnsi="Times New Roman"/>
        </w:rPr>
        <w:t>2020 m. birželio</w:t>
      </w:r>
      <w:r w:rsidR="00CC6A6C">
        <w:rPr>
          <w:rFonts w:ascii="Times New Roman" w:hAnsi="Times New Roman"/>
        </w:rPr>
        <w:t xml:space="preserve"> 3 </w:t>
      </w:r>
      <w:r>
        <w:rPr>
          <w:rFonts w:ascii="Times New Roman" w:hAnsi="Times New Roman"/>
        </w:rPr>
        <w:t>d. vidutinio</w:t>
      </w:r>
      <w:r w:rsidRPr="00B75703">
        <w:rPr>
          <w:rFonts w:ascii="Times New Roman" w:hAnsi="Times New Roman"/>
        </w:rPr>
        <w:t xml:space="preserve"> lygio renginių organizavimo paslaugų sutarties Nr.</w:t>
      </w:r>
      <w:r w:rsidR="00CC6A6C">
        <w:rPr>
          <w:rFonts w:ascii="Times New Roman" w:hAnsi="Times New Roman"/>
        </w:rPr>
        <w:t>14P-43</w:t>
      </w:r>
      <w:bookmarkStart w:id="0" w:name="_GoBack"/>
      <w:bookmarkEnd w:id="0"/>
    </w:p>
    <w:p w:rsidR="00932B9F" w:rsidRPr="003C183E" w:rsidRDefault="00B75703" w:rsidP="00B75703">
      <w:pPr>
        <w:tabs>
          <w:tab w:val="left" w:pos="567"/>
        </w:tabs>
        <w:spacing w:after="0" w:line="240" w:lineRule="auto"/>
        <w:ind w:left="6237" w:right="-144"/>
        <w:jc w:val="both"/>
        <w:rPr>
          <w:rFonts w:ascii="Times New Roman" w:hAnsi="Times New Roman"/>
          <w:sz w:val="24"/>
          <w:szCs w:val="24"/>
        </w:rPr>
      </w:pPr>
      <w:r>
        <w:rPr>
          <w:rFonts w:ascii="Times New Roman" w:hAnsi="Times New Roman"/>
        </w:rPr>
        <w:t>1</w:t>
      </w:r>
      <w:r w:rsidRPr="00B75703">
        <w:rPr>
          <w:rFonts w:ascii="Times New Roman" w:hAnsi="Times New Roman"/>
        </w:rPr>
        <w:t xml:space="preserve"> priedas</w:t>
      </w:r>
    </w:p>
    <w:p w:rsidR="00932B9F" w:rsidRPr="003C183E" w:rsidRDefault="00932B9F" w:rsidP="003C183E">
      <w:pPr>
        <w:tabs>
          <w:tab w:val="left" w:pos="567"/>
        </w:tabs>
        <w:spacing w:after="0" w:line="240" w:lineRule="auto"/>
        <w:ind w:left="5670" w:right="-144"/>
        <w:jc w:val="both"/>
        <w:rPr>
          <w:rFonts w:ascii="Times New Roman" w:hAnsi="Times New Roman"/>
          <w:b/>
          <w:sz w:val="24"/>
          <w:szCs w:val="24"/>
        </w:rPr>
      </w:pPr>
    </w:p>
    <w:p w:rsidR="003F7599" w:rsidRDefault="003C0FC9" w:rsidP="003C183E">
      <w:pPr>
        <w:tabs>
          <w:tab w:val="left" w:pos="567"/>
        </w:tabs>
        <w:spacing w:after="0" w:line="240" w:lineRule="auto"/>
        <w:ind w:right="-144"/>
        <w:jc w:val="center"/>
        <w:rPr>
          <w:rFonts w:ascii="Times New Roman" w:hAnsi="Times New Roman"/>
          <w:b/>
          <w:sz w:val="24"/>
          <w:szCs w:val="24"/>
        </w:rPr>
      </w:pPr>
      <w:r>
        <w:rPr>
          <w:rFonts w:ascii="Times New Roman" w:hAnsi="Times New Roman"/>
          <w:b/>
          <w:sz w:val="24"/>
          <w:szCs w:val="24"/>
        </w:rPr>
        <w:t>I</w:t>
      </w:r>
      <w:r w:rsidR="00F61521">
        <w:rPr>
          <w:rFonts w:ascii="Times New Roman" w:hAnsi="Times New Roman"/>
          <w:b/>
          <w:sz w:val="24"/>
          <w:szCs w:val="24"/>
        </w:rPr>
        <w:t>I</w:t>
      </w:r>
      <w:r>
        <w:rPr>
          <w:rFonts w:ascii="Times New Roman" w:hAnsi="Times New Roman"/>
          <w:b/>
          <w:sz w:val="24"/>
          <w:szCs w:val="24"/>
        </w:rPr>
        <w:t xml:space="preserve"> PIRKIMO </w:t>
      </w:r>
      <w:r w:rsidR="003F7599">
        <w:rPr>
          <w:rFonts w:ascii="Times New Roman" w:hAnsi="Times New Roman"/>
          <w:b/>
          <w:sz w:val="24"/>
          <w:szCs w:val="24"/>
        </w:rPr>
        <w:t xml:space="preserve">OBJEKTO </w:t>
      </w:r>
      <w:r w:rsidR="00E90EC7">
        <w:rPr>
          <w:rFonts w:ascii="Times New Roman" w:hAnsi="Times New Roman"/>
          <w:b/>
          <w:sz w:val="24"/>
          <w:szCs w:val="24"/>
        </w:rPr>
        <w:t>DALIS</w:t>
      </w:r>
    </w:p>
    <w:p w:rsidR="00B676B5" w:rsidRDefault="00F61521" w:rsidP="003C183E">
      <w:pPr>
        <w:tabs>
          <w:tab w:val="left" w:pos="567"/>
        </w:tabs>
        <w:spacing w:after="0" w:line="240" w:lineRule="auto"/>
        <w:ind w:right="-144"/>
        <w:jc w:val="center"/>
        <w:rPr>
          <w:rFonts w:ascii="Times New Roman" w:hAnsi="Times New Roman"/>
          <w:b/>
          <w:sz w:val="24"/>
          <w:szCs w:val="24"/>
        </w:rPr>
      </w:pPr>
      <w:r>
        <w:rPr>
          <w:rFonts w:ascii="Times New Roman" w:hAnsi="Times New Roman"/>
          <w:b/>
          <w:sz w:val="24"/>
          <w:szCs w:val="24"/>
        </w:rPr>
        <w:t>VIDUTINIO</w:t>
      </w:r>
      <w:r w:rsidR="000E1F72" w:rsidRPr="000E1F72">
        <w:rPr>
          <w:rFonts w:ascii="Times New Roman" w:hAnsi="Times New Roman"/>
          <w:b/>
          <w:sz w:val="24"/>
          <w:szCs w:val="24"/>
        </w:rPr>
        <w:t xml:space="preserve"> LYGIO RENGINIŲ ORGANIZAVIMO </w:t>
      </w:r>
      <w:r w:rsidR="000E1F72" w:rsidRPr="00B676B5">
        <w:rPr>
          <w:rFonts w:ascii="Times New Roman" w:hAnsi="Times New Roman"/>
          <w:b/>
          <w:sz w:val="24"/>
          <w:szCs w:val="24"/>
        </w:rPr>
        <w:t>PASLAUG</w:t>
      </w:r>
      <w:r w:rsidR="000E1F72">
        <w:rPr>
          <w:rFonts w:ascii="Times New Roman" w:hAnsi="Times New Roman"/>
          <w:b/>
          <w:sz w:val="24"/>
          <w:szCs w:val="24"/>
        </w:rPr>
        <w:t>Ų</w:t>
      </w:r>
      <w:r w:rsidR="000E1F72" w:rsidRPr="003C183E">
        <w:rPr>
          <w:rFonts w:ascii="Times New Roman" w:hAnsi="Times New Roman"/>
          <w:b/>
          <w:sz w:val="24"/>
          <w:szCs w:val="24"/>
        </w:rPr>
        <w:t xml:space="preserve"> </w:t>
      </w:r>
    </w:p>
    <w:p w:rsidR="00932B9F" w:rsidRDefault="00932B9F" w:rsidP="003C183E">
      <w:pPr>
        <w:tabs>
          <w:tab w:val="left" w:pos="567"/>
        </w:tabs>
        <w:spacing w:after="0" w:line="240" w:lineRule="auto"/>
        <w:ind w:right="-144"/>
        <w:jc w:val="center"/>
        <w:rPr>
          <w:rFonts w:ascii="Times New Roman" w:hAnsi="Times New Roman"/>
          <w:b/>
          <w:sz w:val="24"/>
          <w:szCs w:val="24"/>
        </w:rPr>
      </w:pPr>
      <w:r w:rsidRPr="003C183E">
        <w:rPr>
          <w:rFonts w:ascii="Times New Roman" w:hAnsi="Times New Roman"/>
          <w:b/>
          <w:sz w:val="24"/>
          <w:szCs w:val="24"/>
        </w:rPr>
        <w:t>TECHNINĖ SPECIFIKACIJA</w:t>
      </w:r>
    </w:p>
    <w:p w:rsidR="005C6C9C" w:rsidRDefault="005C6C9C" w:rsidP="003C183E">
      <w:pPr>
        <w:tabs>
          <w:tab w:val="left" w:pos="567"/>
        </w:tabs>
        <w:spacing w:after="0" w:line="240" w:lineRule="auto"/>
        <w:ind w:right="-144"/>
        <w:jc w:val="center"/>
        <w:rPr>
          <w:rFonts w:ascii="Times New Roman" w:hAnsi="Times New Roman"/>
          <w:b/>
          <w:sz w:val="24"/>
          <w:szCs w:val="24"/>
        </w:rPr>
      </w:pPr>
    </w:p>
    <w:p w:rsidR="003C4C15" w:rsidRPr="001C2154" w:rsidRDefault="003C4C15" w:rsidP="003C4C15">
      <w:pPr>
        <w:tabs>
          <w:tab w:val="left" w:pos="900"/>
        </w:tabs>
        <w:spacing w:after="0" w:line="240" w:lineRule="auto"/>
        <w:jc w:val="center"/>
        <w:rPr>
          <w:rFonts w:ascii="Times New Roman" w:eastAsia="Times New Roman" w:hAnsi="Times New Roman"/>
          <w:b/>
          <w:bCs/>
          <w:sz w:val="24"/>
          <w:szCs w:val="24"/>
          <w:lang w:eastAsia="lt-LT"/>
        </w:rPr>
      </w:pPr>
      <w:r w:rsidRPr="001C2154">
        <w:rPr>
          <w:rFonts w:ascii="Times New Roman" w:eastAsia="Times New Roman" w:hAnsi="Times New Roman"/>
          <w:b/>
          <w:bCs/>
          <w:sz w:val="24"/>
          <w:szCs w:val="24"/>
          <w:lang w:eastAsia="lt-LT"/>
        </w:rPr>
        <w:t>I. BENDRA INFORMACIJA</w:t>
      </w:r>
    </w:p>
    <w:p w:rsidR="003C4C15" w:rsidRPr="001C2154" w:rsidRDefault="003C4C15" w:rsidP="003C4C15">
      <w:pPr>
        <w:tabs>
          <w:tab w:val="left" w:pos="900"/>
        </w:tabs>
        <w:spacing w:after="0" w:line="240" w:lineRule="auto"/>
        <w:ind w:firstLine="540"/>
        <w:rPr>
          <w:rFonts w:ascii="Times New Roman" w:eastAsia="Times New Roman" w:hAnsi="Times New Roman"/>
          <w:sz w:val="24"/>
          <w:szCs w:val="24"/>
          <w:lang w:eastAsia="lt-LT"/>
        </w:rPr>
      </w:pPr>
    </w:p>
    <w:p w:rsidR="003C4C15" w:rsidRPr="001C2154" w:rsidRDefault="003C4C15" w:rsidP="003C4C15">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sz w:val="24"/>
          <w:szCs w:val="24"/>
          <w:lang w:eastAsia="lt-LT"/>
        </w:rPr>
      </w:pPr>
      <w:r w:rsidRPr="001C2154">
        <w:rPr>
          <w:rFonts w:ascii="Times New Roman" w:eastAsia="Times New Roman" w:hAnsi="Times New Roman"/>
          <w:sz w:val="24"/>
          <w:szCs w:val="24"/>
          <w:lang w:eastAsia="lt-LT"/>
        </w:rPr>
        <w:t xml:space="preserve">Perkančioji organizacija – Lietuvos Respublikos finansų ministerija (toliau – </w:t>
      </w:r>
      <w:r w:rsidR="00DC2D24">
        <w:rPr>
          <w:rFonts w:ascii="Times New Roman" w:eastAsia="Times New Roman" w:hAnsi="Times New Roman"/>
          <w:sz w:val="24"/>
          <w:szCs w:val="24"/>
          <w:lang w:eastAsia="lt-LT"/>
        </w:rPr>
        <w:t>p</w:t>
      </w:r>
      <w:r w:rsidRPr="001C2154">
        <w:rPr>
          <w:rFonts w:ascii="Times New Roman" w:eastAsia="Times New Roman" w:hAnsi="Times New Roman"/>
          <w:sz w:val="24"/>
          <w:szCs w:val="24"/>
          <w:lang w:eastAsia="lt-LT"/>
        </w:rPr>
        <w:t xml:space="preserve">erkančioji organizacija). </w:t>
      </w:r>
    </w:p>
    <w:p w:rsidR="003C4C15" w:rsidRDefault="003C4C15" w:rsidP="003C4C15">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sz w:val="24"/>
          <w:szCs w:val="24"/>
          <w:lang w:eastAsia="lt-LT"/>
        </w:rPr>
      </w:pPr>
      <w:r w:rsidRPr="00937335">
        <w:rPr>
          <w:rFonts w:ascii="Times New Roman" w:eastAsia="Times New Roman" w:hAnsi="Times New Roman"/>
          <w:sz w:val="24"/>
          <w:szCs w:val="24"/>
          <w:lang w:eastAsia="lt-LT"/>
        </w:rPr>
        <w:t xml:space="preserve">Perkančioji organizacija, atlikdama pavestas funkcijas, nuolat inicijuoja </w:t>
      </w:r>
      <w:r w:rsidR="00BA3DDC">
        <w:rPr>
          <w:rFonts w:ascii="Times New Roman" w:eastAsia="Times New Roman" w:hAnsi="Times New Roman"/>
          <w:sz w:val="24"/>
          <w:szCs w:val="24"/>
          <w:lang w:eastAsia="lt-LT"/>
        </w:rPr>
        <w:t>vidutinio</w:t>
      </w:r>
      <w:r>
        <w:rPr>
          <w:rFonts w:ascii="Times New Roman" w:eastAsia="Times New Roman" w:hAnsi="Times New Roman"/>
          <w:sz w:val="24"/>
          <w:szCs w:val="24"/>
          <w:lang w:eastAsia="lt-LT"/>
        </w:rPr>
        <w:t xml:space="preserve"> </w:t>
      </w:r>
      <w:r w:rsidRPr="00937335">
        <w:rPr>
          <w:rFonts w:ascii="Times New Roman" w:eastAsia="Times New Roman" w:hAnsi="Times New Roman"/>
          <w:sz w:val="24"/>
          <w:szCs w:val="24"/>
          <w:lang w:eastAsia="lt-LT"/>
        </w:rPr>
        <w:t>renginius: posėdž</w:t>
      </w:r>
      <w:r>
        <w:rPr>
          <w:rFonts w:ascii="Times New Roman" w:eastAsia="Times New Roman" w:hAnsi="Times New Roman"/>
          <w:sz w:val="24"/>
          <w:szCs w:val="24"/>
          <w:lang w:eastAsia="lt-LT"/>
        </w:rPr>
        <w:t>ius, susitikimus, konferencijas.</w:t>
      </w:r>
      <w:r w:rsidRPr="00937335">
        <w:rPr>
          <w:rFonts w:ascii="Times New Roman" w:eastAsia="Times New Roman" w:hAnsi="Times New Roman"/>
          <w:sz w:val="24"/>
          <w:szCs w:val="24"/>
          <w:lang w:eastAsia="lt-LT"/>
        </w:rPr>
        <w:t xml:space="preserve"> </w:t>
      </w:r>
    </w:p>
    <w:p w:rsidR="003C4C15" w:rsidRPr="001C2154" w:rsidRDefault="003C4C15" w:rsidP="00BA3DDC">
      <w:pPr>
        <w:numPr>
          <w:ilvl w:val="1"/>
          <w:numId w:val="30"/>
        </w:numPr>
        <w:tabs>
          <w:tab w:val="left" w:pos="0"/>
          <w:tab w:val="left" w:pos="900"/>
          <w:tab w:val="left" w:pos="993"/>
        </w:tabs>
        <w:spacing w:after="0" w:line="240" w:lineRule="auto"/>
        <w:ind w:left="0" w:firstLine="567"/>
        <w:jc w:val="both"/>
        <w:rPr>
          <w:rFonts w:ascii="Times New Roman" w:eastAsia="Times New Roman" w:hAnsi="Times New Roman"/>
          <w:sz w:val="24"/>
          <w:szCs w:val="24"/>
          <w:lang w:eastAsia="lt-LT"/>
        </w:rPr>
      </w:pPr>
      <w:r w:rsidRPr="001C2154">
        <w:rPr>
          <w:rFonts w:ascii="Times New Roman" w:eastAsia="Times New Roman" w:hAnsi="Times New Roman"/>
          <w:sz w:val="24"/>
          <w:szCs w:val="24"/>
          <w:lang w:eastAsia="lt-LT"/>
        </w:rPr>
        <w:t>Pirkimo objektas –</w:t>
      </w:r>
      <w:r w:rsidRPr="00FD244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Vidutinio lygio </w:t>
      </w:r>
      <w:r w:rsidRPr="00937335">
        <w:rPr>
          <w:rFonts w:ascii="Times New Roman" w:eastAsia="Times New Roman" w:hAnsi="Times New Roman"/>
          <w:sz w:val="24"/>
          <w:szCs w:val="24"/>
          <w:lang w:eastAsia="lt-LT"/>
        </w:rPr>
        <w:t>rengini</w:t>
      </w:r>
      <w:r>
        <w:rPr>
          <w:rFonts w:ascii="Times New Roman" w:eastAsia="Times New Roman" w:hAnsi="Times New Roman"/>
          <w:sz w:val="24"/>
          <w:szCs w:val="24"/>
          <w:lang w:eastAsia="lt-LT"/>
        </w:rPr>
        <w:t>ų organizavimo paslaugos</w:t>
      </w:r>
      <w:r w:rsidR="00DC2D24">
        <w:rPr>
          <w:rFonts w:ascii="Times New Roman" w:eastAsia="Times New Roman" w:hAnsi="Times New Roman"/>
          <w:sz w:val="24"/>
          <w:szCs w:val="24"/>
          <w:lang w:eastAsia="lt-LT"/>
        </w:rPr>
        <w:t xml:space="preserve"> (toliau – paslaugos)</w:t>
      </w:r>
      <w:r>
        <w:rPr>
          <w:rFonts w:ascii="Times New Roman" w:eastAsia="Times New Roman" w:hAnsi="Times New Roman"/>
          <w:sz w:val="24"/>
          <w:szCs w:val="24"/>
          <w:lang w:eastAsia="lt-LT"/>
        </w:rPr>
        <w:t xml:space="preserve">, kurias sudaro </w:t>
      </w:r>
      <w:r w:rsidR="00BA3DDC" w:rsidRPr="00BA3DDC">
        <w:rPr>
          <w:rFonts w:ascii="Times New Roman" w:eastAsia="Times New Roman" w:hAnsi="Times New Roman"/>
          <w:sz w:val="24"/>
          <w:szCs w:val="24"/>
          <w:lang w:eastAsia="lt-LT"/>
        </w:rPr>
        <w:t>Ministerijos vadovybės, struktūrinių padalinių vadovų susitikimai, posėdžiai, konferencijos, kuriuose dalyvauja tarptautinių institucijų ar jų padalinių atstovai, kitų šalių pareigūnai, Lietuvos Respublikos institucijų atstovai ar jiems prilyginami renginiai. Taip pat renginiai, kai suteikiamos tik konkrečios paslaugos, pvz., salių nuomos, kavos pertraukėlių, vertimo paslaugos, viešinimo atributikos pristatymo organizavimas perkančiosios organizacijos organizuojamuose renginiuose, taip pat socialinės kultūrinės programos paslaugos ar panašios paslaugos</w:t>
      </w:r>
      <w:r w:rsidRPr="001C2154">
        <w:rPr>
          <w:rFonts w:ascii="Times New Roman" w:eastAsia="Times New Roman" w:hAnsi="Times New Roman"/>
          <w:sz w:val="24"/>
          <w:szCs w:val="24"/>
          <w:lang w:eastAsia="lt-LT"/>
        </w:rPr>
        <w:t xml:space="preserve">. </w:t>
      </w:r>
    </w:p>
    <w:p w:rsidR="00BA3DDC" w:rsidRPr="00BA3DDC" w:rsidRDefault="00BA3DDC" w:rsidP="00BA3DDC">
      <w:pPr>
        <w:tabs>
          <w:tab w:val="left" w:pos="567"/>
          <w:tab w:val="left" w:pos="1134"/>
        </w:tabs>
        <w:spacing w:after="0" w:line="240" w:lineRule="auto"/>
        <w:ind w:right="-144" w:firstLine="567"/>
        <w:contextualSpacing/>
        <w:jc w:val="both"/>
        <w:rPr>
          <w:rFonts w:ascii="Times New Roman" w:hAnsi="Times New Roman"/>
          <w:sz w:val="24"/>
          <w:szCs w:val="24"/>
        </w:rPr>
      </w:pPr>
      <w:r w:rsidRPr="00BA3DDC">
        <w:rPr>
          <w:rFonts w:ascii="Times New Roman" w:hAnsi="Times New Roman"/>
          <w:sz w:val="24"/>
          <w:szCs w:val="24"/>
        </w:rPr>
        <w:t xml:space="preserve">1.4. </w:t>
      </w:r>
      <w:r w:rsidR="009D520C" w:rsidRPr="00D84316">
        <w:rPr>
          <w:rFonts w:ascii="Times New Roman" w:eastAsia="Times New Roman" w:hAnsi="Times New Roman"/>
          <w:sz w:val="24"/>
          <w:szCs w:val="24"/>
          <w:lang w:eastAsia="lt-LT"/>
        </w:rPr>
        <w:t xml:space="preserve">Paslaugos turi būti teikiamos </w:t>
      </w:r>
      <w:r w:rsidR="009D520C">
        <w:rPr>
          <w:rFonts w:ascii="Times New Roman" w:eastAsia="Times New Roman" w:hAnsi="Times New Roman"/>
          <w:sz w:val="24"/>
          <w:szCs w:val="24"/>
          <w:lang w:eastAsia="lt-LT"/>
        </w:rPr>
        <w:t>36</w:t>
      </w:r>
      <w:r w:rsidR="009D520C" w:rsidRPr="00D84316">
        <w:rPr>
          <w:rFonts w:ascii="Times New Roman" w:eastAsia="Times New Roman" w:hAnsi="Times New Roman"/>
          <w:sz w:val="24"/>
          <w:szCs w:val="24"/>
          <w:lang w:eastAsia="lt-LT"/>
        </w:rPr>
        <w:t xml:space="preserve"> (</w:t>
      </w:r>
      <w:r w:rsidR="009D520C">
        <w:rPr>
          <w:rFonts w:ascii="Times New Roman" w:eastAsia="Times New Roman" w:hAnsi="Times New Roman"/>
          <w:sz w:val="24"/>
          <w:szCs w:val="24"/>
          <w:lang w:eastAsia="lt-LT"/>
        </w:rPr>
        <w:t>trisdešimt šešis</w:t>
      </w:r>
      <w:r w:rsidR="009D520C" w:rsidRPr="00D84316">
        <w:rPr>
          <w:rFonts w:ascii="Times New Roman" w:eastAsia="Times New Roman" w:hAnsi="Times New Roman"/>
          <w:sz w:val="24"/>
          <w:szCs w:val="24"/>
          <w:lang w:eastAsia="lt-LT"/>
        </w:rPr>
        <w:t>) mėnesi</w:t>
      </w:r>
      <w:r w:rsidR="009D520C">
        <w:rPr>
          <w:rFonts w:ascii="Times New Roman" w:eastAsia="Times New Roman" w:hAnsi="Times New Roman"/>
          <w:sz w:val="24"/>
          <w:szCs w:val="24"/>
          <w:lang w:eastAsia="lt-LT"/>
        </w:rPr>
        <w:t>us</w:t>
      </w:r>
      <w:r w:rsidR="009D520C" w:rsidRPr="00D84316">
        <w:rPr>
          <w:rFonts w:ascii="Times New Roman" w:eastAsia="Times New Roman" w:hAnsi="Times New Roman"/>
          <w:sz w:val="24"/>
          <w:szCs w:val="24"/>
          <w:lang w:eastAsia="lt-LT"/>
        </w:rPr>
        <w:t xml:space="preserve"> nuo Sutarties įsigaliojimo dienos</w:t>
      </w:r>
      <w:r w:rsidRPr="00BA3DDC">
        <w:rPr>
          <w:rFonts w:ascii="Times New Roman" w:hAnsi="Times New Roman"/>
          <w:sz w:val="24"/>
          <w:szCs w:val="24"/>
        </w:rPr>
        <w:t>.</w:t>
      </w:r>
    </w:p>
    <w:p w:rsidR="00BA3DDC" w:rsidRPr="00BA3DDC" w:rsidRDefault="00BA3DDC" w:rsidP="00BA3DDC">
      <w:pPr>
        <w:tabs>
          <w:tab w:val="left" w:pos="567"/>
          <w:tab w:val="left" w:pos="1134"/>
        </w:tabs>
        <w:spacing w:after="0" w:line="240" w:lineRule="auto"/>
        <w:ind w:right="-144" w:firstLine="567"/>
        <w:contextualSpacing/>
        <w:jc w:val="both"/>
        <w:rPr>
          <w:rFonts w:ascii="Times New Roman" w:hAnsi="Times New Roman"/>
          <w:sz w:val="24"/>
          <w:szCs w:val="24"/>
        </w:rPr>
      </w:pPr>
      <w:r w:rsidRPr="00BA3DDC">
        <w:rPr>
          <w:rFonts w:ascii="Times New Roman" w:hAnsi="Times New Roman"/>
          <w:sz w:val="24"/>
          <w:szCs w:val="24"/>
        </w:rPr>
        <w:t xml:space="preserve">1.5. Maksimali lėšų suma, kurią planuojama per 36 (trisdešimt šešis) mėnesius (maksimalų paslaugų teikimo terminą) skirti paslaugų įsigijimui, yra </w:t>
      </w:r>
      <w:r>
        <w:rPr>
          <w:rFonts w:ascii="Times New Roman" w:hAnsi="Times New Roman"/>
          <w:sz w:val="24"/>
          <w:szCs w:val="24"/>
        </w:rPr>
        <w:t>4</w:t>
      </w:r>
      <w:r w:rsidRPr="00BA3DDC">
        <w:rPr>
          <w:rFonts w:ascii="Times New Roman" w:hAnsi="Times New Roman"/>
          <w:sz w:val="24"/>
          <w:szCs w:val="24"/>
        </w:rPr>
        <w:t>50.000,00 (</w:t>
      </w:r>
      <w:r>
        <w:rPr>
          <w:rFonts w:ascii="Times New Roman" w:hAnsi="Times New Roman"/>
          <w:sz w:val="24"/>
          <w:szCs w:val="24"/>
        </w:rPr>
        <w:t>keturi</w:t>
      </w:r>
      <w:r w:rsidRPr="00BA3DDC">
        <w:rPr>
          <w:rFonts w:ascii="Times New Roman" w:hAnsi="Times New Roman"/>
          <w:sz w:val="24"/>
          <w:szCs w:val="24"/>
        </w:rPr>
        <w:t xml:space="preserve"> šimtai penkiasdešimt tūkstančių) eurų su pridėtinės vertės mokesčiu (toliau – PVM).</w:t>
      </w:r>
    </w:p>
    <w:p w:rsidR="00BA3DDC" w:rsidRPr="00BA3DDC" w:rsidRDefault="00BA3DDC" w:rsidP="00BA3DDC">
      <w:pPr>
        <w:tabs>
          <w:tab w:val="left" w:pos="567"/>
          <w:tab w:val="left" w:pos="1134"/>
        </w:tabs>
        <w:spacing w:after="0" w:line="240" w:lineRule="auto"/>
        <w:ind w:right="-144" w:firstLine="567"/>
        <w:contextualSpacing/>
        <w:jc w:val="both"/>
        <w:rPr>
          <w:rFonts w:ascii="Times New Roman" w:hAnsi="Times New Roman"/>
          <w:sz w:val="24"/>
          <w:szCs w:val="24"/>
        </w:rPr>
      </w:pPr>
      <w:r w:rsidRPr="00BA3DDC">
        <w:rPr>
          <w:rFonts w:ascii="Times New Roman" w:hAnsi="Times New Roman"/>
          <w:sz w:val="24"/>
          <w:szCs w:val="24"/>
        </w:rPr>
        <w:t>1.6. Paslaugos bus užsakomos pagal faktinį poreikį kiekvienam renginiui atskirai.</w:t>
      </w:r>
    </w:p>
    <w:p w:rsidR="003C4C15" w:rsidRDefault="00BA3DDC" w:rsidP="00BA3DDC">
      <w:pPr>
        <w:tabs>
          <w:tab w:val="left" w:pos="567"/>
          <w:tab w:val="left" w:pos="1134"/>
        </w:tabs>
        <w:spacing w:after="0" w:line="240" w:lineRule="auto"/>
        <w:ind w:right="-144" w:firstLine="567"/>
        <w:contextualSpacing/>
        <w:jc w:val="both"/>
        <w:rPr>
          <w:rFonts w:ascii="Times New Roman" w:hAnsi="Times New Roman"/>
          <w:sz w:val="24"/>
          <w:szCs w:val="24"/>
        </w:rPr>
      </w:pPr>
      <w:r w:rsidRPr="00BA3DDC">
        <w:rPr>
          <w:rFonts w:ascii="Times New Roman" w:hAnsi="Times New Roman"/>
          <w:sz w:val="24"/>
          <w:szCs w:val="24"/>
        </w:rPr>
        <w:t>1.7. Paslaugų teikimo vieta – Lietuvos Respublikos teritorija.</w:t>
      </w:r>
    </w:p>
    <w:p w:rsidR="00BA3DDC" w:rsidRDefault="00BA3DDC" w:rsidP="003C4C15">
      <w:pPr>
        <w:tabs>
          <w:tab w:val="left" w:pos="567"/>
          <w:tab w:val="left" w:pos="1134"/>
        </w:tabs>
        <w:spacing w:after="0" w:line="240" w:lineRule="auto"/>
        <w:ind w:right="-144"/>
        <w:contextualSpacing/>
        <w:jc w:val="both"/>
        <w:rPr>
          <w:rFonts w:ascii="Times New Roman" w:hAnsi="Times New Roman"/>
          <w:sz w:val="24"/>
          <w:szCs w:val="24"/>
        </w:rPr>
      </w:pPr>
    </w:p>
    <w:p w:rsidR="003C4C15" w:rsidRPr="001C2154" w:rsidRDefault="003C4C15" w:rsidP="003C4C15">
      <w:pPr>
        <w:numPr>
          <w:ilvl w:val="0"/>
          <w:numId w:val="31"/>
        </w:numPr>
        <w:spacing w:after="0" w:line="240" w:lineRule="auto"/>
        <w:jc w:val="center"/>
        <w:rPr>
          <w:rFonts w:ascii="Times New Roman" w:eastAsia="Times New Roman" w:hAnsi="Times New Roman"/>
          <w:b/>
          <w:bCs/>
          <w:sz w:val="24"/>
          <w:szCs w:val="24"/>
          <w:lang w:eastAsia="lt-LT"/>
        </w:rPr>
      </w:pPr>
      <w:r w:rsidRPr="007747BE">
        <w:rPr>
          <w:rFonts w:ascii="Times New Roman" w:eastAsia="Times New Roman" w:hAnsi="Times New Roman"/>
          <w:b/>
          <w:bCs/>
          <w:sz w:val="24"/>
          <w:szCs w:val="24"/>
          <w:lang w:eastAsia="lt-LT"/>
        </w:rPr>
        <w:t xml:space="preserve">PASLAUGŲ SUTEIKIMO VIETA, APIMTYS IR POBŪDIS </w:t>
      </w:r>
    </w:p>
    <w:p w:rsidR="003C4C15" w:rsidRDefault="003C4C15" w:rsidP="003C4C15">
      <w:pPr>
        <w:tabs>
          <w:tab w:val="left" w:pos="567"/>
          <w:tab w:val="left" w:pos="1134"/>
        </w:tabs>
        <w:spacing w:after="0" w:line="240" w:lineRule="auto"/>
        <w:ind w:right="-144"/>
        <w:contextualSpacing/>
        <w:jc w:val="both"/>
        <w:rPr>
          <w:rFonts w:ascii="Times New Roman" w:hAnsi="Times New Roman"/>
          <w:sz w:val="24"/>
          <w:szCs w:val="24"/>
        </w:rPr>
      </w:pPr>
    </w:p>
    <w:p w:rsidR="003C4C15" w:rsidRDefault="003C4C15" w:rsidP="003C4C15">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2.1. </w:t>
      </w:r>
      <w:r w:rsidRPr="007747BE">
        <w:rPr>
          <w:rFonts w:ascii="Times New Roman" w:eastAsia="Times New Roman" w:hAnsi="Times New Roman"/>
          <w:sz w:val="24"/>
          <w:szCs w:val="24"/>
          <w:lang w:eastAsia="lt-LT"/>
        </w:rPr>
        <w:t>Perkančioji organizacija sutarties galiojimo laikotarpiu preliminariai planuoja organizuoti apie</w:t>
      </w:r>
      <w:r w:rsidR="00F0767A">
        <w:rPr>
          <w:rFonts w:ascii="Times New Roman" w:eastAsia="Times New Roman" w:hAnsi="Times New Roman"/>
          <w:sz w:val="24"/>
          <w:szCs w:val="24"/>
          <w:lang w:eastAsia="lt-LT"/>
        </w:rPr>
        <w:t xml:space="preserve"> 500 </w:t>
      </w:r>
      <w:r w:rsidR="00843793">
        <w:rPr>
          <w:rFonts w:ascii="Times New Roman" w:eastAsia="Times New Roman" w:hAnsi="Times New Roman"/>
          <w:sz w:val="24"/>
          <w:szCs w:val="24"/>
          <w:lang w:eastAsia="lt-LT"/>
        </w:rPr>
        <w:t>vidutinio</w:t>
      </w:r>
      <w:r w:rsidRPr="007747BE">
        <w:rPr>
          <w:rFonts w:ascii="Times New Roman" w:eastAsia="Times New Roman" w:hAnsi="Times New Roman"/>
          <w:sz w:val="24"/>
          <w:szCs w:val="24"/>
          <w:lang w:eastAsia="lt-LT"/>
        </w:rPr>
        <w:t xml:space="preserve"> lygio renginių Lietuvos Respublikos teritorijoje. Apie</w:t>
      </w:r>
      <w:r w:rsidR="00F0767A">
        <w:rPr>
          <w:rFonts w:ascii="Times New Roman" w:eastAsia="Times New Roman" w:hAnsi="Times New Roman"/>
          <w:sz w:val="24"/>
          <w:szCs w:val="24"/>
          <w:lang w:eastAsia="lt-LT"/>
        </w:rPr>
        <w:t xml:space="preserve"> 5</w:t>
      </w:r>
      <w:r w:rsidR="00F0767A" w:rsidRPr="00F0767A">
        <w:rPr>
          <w:rFonts w:ascii="Times New Roman" w:eastAsia="Times New Roman" w:hAnsi="Times New Roman"/>
          <w:sz w:val="24"/>
          <w:szCs w:val="24"/>
          <w:lang w:eastAsia="lt-LT"/>
        </w:rPr>
        <w:t>–</w:t>
      </w:r>
      <w:r w:rsidR="00F0767A">
        <w:rPr>
          <w:rFonts w:ascii="Times New Roman" w:eastAsia="Times New Roman" w:hAnsi="Times New Roman"/>
          <w:sz w:val="24"/>
          <w:szCs w:val="24"/>
          <w:lang w:eastAsia="lt-LT"/>
        </w:rPr>
        <w:t>10</w:t>
      </w:r>
      <w:r w:rsidRPr="007747BE">
        <w:rPr>
          <w:rFonts w:ascii="Times New Roman" w:eastAsia="Times New Roman" w:hAnsi="Times New Roman"/>
          <w:sz w:val="24"/>
          <w:szCs w:val="24"/>
          <w:lang w:eastAsia="lt-LT"/>
        </w:rPr>
        <w:t xml:space="preserve"> procentų iš nurodytų renginių gali vykti ne Vilniaus mieste. Kiekvienas renginys bus priskirtas konkrečiai kategorijai apie tai iš anksto informuojant paslaugos teikėją. </w:t>
      </w:r>
    </w:p>
    <w:p w:rsidR="003C4C15" w:rsidRDefault="003C4C15" w:rsidP="003C4C15">
      <w:pPr>
        <w:tabs>
          <w:tab w:val="left" w:pos="720"/>
          <w:tab w:val="left" w:pos="993"/>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2.2. </w:t>
      </w:r>
      <w:r w:rsidRPr="007747BE">
        <w:rPr>
          <w:rFonts w:ascii="Times New Roman" w:eastAsia="Times New Roman" w:hAnsi="Times New Roman"/>
          <w:sz w:val="24"/>
          <w:szCs w:val="24"/>
          <w:lang w:eastAsia="lt-LT"/>
        </w:rPr>
        <w:t xml:space="preserve">Renginių kiekiai, nurodyti paslaugų techninės specifikacijos </w:t>
      </w:r>
      <w:r w:rsidR="00CA1FA1">
        <w:rPr>
          <w:rFonts w:ascii="Times New Roman" w:eastAsia="Times New Roman" w:hAnsi="Times New Roman"/>
          <w:sz w:val="24"/>
          <w:szCs w:val="24"/>
          <w:lang w:eastAsia="lt-LT"/>
        </w:rPr>
        <w:t>2.1</w:t>
      </w:r>
      <w:r w:rsidRPr="007747BE">
        <w:rPr>
          <w:rFonts w:ascii="Times New Roman" w:eastAsia="Times New Roman" w:hAnsi="Times New Roman"/>
          <w:sz w:val="24"/>
          <w:szCs w:val="24"/>
          <w:lang w:eastAsia="lt-LT"/>
        </w:rPr>
        <w:t xml:space="preserve"> punkte, yra preliminarūs ir gali būti keičiami bei užsakomi priklausomai nuo perkančiosios organizacijos poreikio.</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 Perkančiajai organizacijai reikalingos renginių organizavimo ir aptarnavimo paslaugos, atsižvelgiant į konkretų renginį, gali apimti: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2.3.1. renginio planavimo ir aptarnavimo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2.3.2. renginio vietos parinkimo paslaugas ir nuomą;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2.3.3. renginio vietos apipavidalinimo, dekoravimo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2.3.4. renginio įrangos nuomą ir aptarnavimo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w:t>
      </w:r>
      <w:r w:rsidR="00152E10">
        <w:rPr>
          <w:rFonts w:ascii="Times New Roman" w:eastAsia="Times New Roman" w:hAnsi="Times New Roman"/>
          <w:sz w:val="24"/>
          <w:szCs w:val="24"/>
          <w:lang w:eastAsia="lt-LT"/>
        </w:rPr>
        <w:t>5</w:t>
      </w:r>
      <w:r w:rsidRPr="000612E5">
        <w:rPr>
          <w:rFonts w:ascii="Times New Roman" w:eastAsia="Times New Roman" w:hAnsi="Times New Roman"/>
          <w:sz w:val="24"/>
          <w:szCs w:val="24"/>
          <w:lang w:eastAsia="lt-LT"/>
        </w:rPr>
        <w:t>. renginio dalyvių maitinimo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w:t>
      </w:r>
      <w:r w:rsidR="00152E10">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transporto nuomos paslaug</w:t>
      </w:r>
      <w:r w:rsidR="00A40B70">
        <w:rPr>
          <w:rFonts w:ascii="Times New Roman" w:eastAsia="Times New Roman" w:hAnsi="Times New Roman"/>
          <w:sz w:val="24"/>
          <w:szCs w:val="24"/>
          <w:lang w:eastAsia="lt-LT"/>
        </w:rPr>
        <w:t>a</w:t>
      </w:r>
      <w:r w:rsidRPr="000612E5">
        <w:rPr>
          <w:rFonts w:ascii="Times New Roman" w:eastAsia="Times New Roman" w:hAnsi="Times New Roman"/>
          <w:sz w:val="24"/>
          <w:szCs w:val="24"/>
          <w:lang w:eastAsia="lt-LT"/>
        </w:rPr>
        <w:t>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w:t>
      </w:r>
      <w:r w:rsidR="00152E10">
        <w:rPr>
          <w:rFonts w:ascii="Times New Roman" w:eastAsia="Times New Roman" w:hAnsi="Times New Roman"/>
          <w:sz w:val="24"/>
          <w:szCs w:val="24"/>
          <w:lang w:eastAsia="lt-LT"/>
        </w:rPr>
        <w:t>7</w:t>
      </w:r>
      <w:r w:rsidRPr="000612E5">
        <w:rPr>
          <w:rFonts w:ascii="Times New Roman" w:eastAsia="Times New Roman" w:hAnsi="Times New Roman"/>
          <w:sz w:val="24"/>
          <w:szCs w:val="24"/>
          <w:lang w:eastAsia="lt-LT"/>
        </w:rPr>
        <w:t>. renginio fotografavimo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w:t>
      </w:r>
      <w:r w:rsidR="00152E10">
        <w:rPr>
          <w:rFonts w:ascii="Times New Roman" w:eastAsia="Times New Roman" w:hAnsi="Times New Roman"/>
          <w:sz w:val="24"/>
          <w:szCs w:val="24"/>
          <w:lang w:eastAsia="lt-LT"/>
        </w:rPr>
        <w:t>8</w:t>
      </w:r>
      <w:r w:rsidRPr="000612E5">
        <w:rPr>
          <w:rFonts w:ascii="Times New Roman" w:eastAsia="Times New Roman" w:hAnsi="Times New Roman"/>
          <w:sz w:val="24"/>
          <w:szCs w:val="24"/>
          <w:lang w:eastAsia="lt-LT"/>
        </w:rPr>
        <w:t xml:space="preserve">. renginio dalyvių apgyvendinimo paslaugas;  </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w:t>
      </w:r>
      <w:r w:rsidR="00152E10">
        <w:rPr>
          <w:rFonts w:ascii="Times New Roman" w:eastAsia="Times New Roman" w:hAnsi="Times New Roman"/>
          <w:sz w:val="24"/>
          <w:szCs w:val="24"/>
          <w:lang w:eastAsia="lt-LT"/>
        </w:rPr>
        <w:t>9</w:t>
      </w:r>
      <w:r w:rsidRPr="000612E5">
        <w:rPr>
          <w:rFonts w:ascii="Times New Roman" w:eastAsia="Times New Roman" w:hAnsi="Times New Roman"/>
          <w:sz w:val="24"/>
          <w:szCs w:val="24"/>
          <w:lang w:eastAsia="lt-LT"/>
        </w:rPr>
        <w:t>. renginiams skirtas kanceliarin</w:t>
      </w:r>
      <w:r w:rsidR="00A40B70">
        <w:rPr>
          <w:rFonts w:ascii="Times New Roman" w:eastAsia="Times New Roman" w:hAnsi="Times New Roman"/>
          <w:sz w:val="24"/>
          <w:szCs w:val="24"/>
          <w:lang w:eastAsia="lt-LT"/>
        </w:rPr>
        <w:t>e</w:t>
      </w:r>
      <w:r w:rsidRPr="000612E5">
        <w:rPr>
          <w:rFonts w:ascii="Times New Roman" w:eastAsia="Times New Roman" w:hAnsi="Times New Roman"/>
          <w:sz w:val="24"/>
          <w:szCs w:val="24"/>
          <w:lang w:eastAsia="lt-LT"/>
        </w:rPr>
        <w:t>s priemones;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2.3.1</w:t>
      </w:r>
      <w:r w:rsidR="00152E10">
        <w:rPr>
          <w:rFonts w:ascii="Times New Roman" w:eastAsia="Times New Roman" w:hAnsi="Times New Roman"/>
          <w:sz w:val="24"/>
          <w:szCs w:val="24"/>
          <w:lang w:eastAsia="lt-LT"/>
        </w:rPr>
        <w:t>0</w:t>
      </w:r>
      <w:r w:rsidRPr="000612E5">
        <w:rPr>
          <w:rFonts w:ascii="Times New Roman" w:eastAsia="Times New Roman" w:hAnsi="Times New Roman"/>
          <w:sz w:val="24"/>
          <w:szCs w:val="24"/>
          <w:lang w:eastAsia="lt-LT"/>
        </w:rPr>
        <w:t>. renginio socialinės kultūrinės programos organizavimo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2.3.1</w:t>
      </w:r>
      <w:r w:rsidR="00152E10">
        <w:rPr>
          <w:rFonts w:ascii="Times New Roman" w:eastAsia="Times New Roman" w:hAnsi="Times New Roman"/>
          <w:sz w:val="24"/>
          <w:szCs w:val="24"/>
          <w:lang w:eastAsia="lt-LT"/>
        </w:rPr>
        <w:t>1</w:t>
      </w:r>
      <w:r w:rsidRPr="000612E5">
        <w:rPr>
          <w:rFonts w:ascii="Times New Roman" w:eastAsia="Times New Roman" w:hAnsi="Times New Roman"/>
          <w:sz w:val="24"/>
          <w:szCs w:val="24"/>
          <w:lang w:eastAsia="lt-LT"/>
        </w:rPr>
        <w:t>. renginiams reikalingų reklaminių/viešinimo priemonių parengimą ir/ar gamybą;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2.3.1</w:t>
      </w:r>
      <w:r w:rsidR="00152E10">
        <w:rPr>
          <w:rFonts w:ascii="Times New Roman" w:eastAsia="Times New Roman" w:hAnsi="Times New Roman"/>
          <w:sz w:val="24"/>
          <w:szCs w:val="24"/>
          <w:lang w:eastAsia="lt-LT"/>
        </w:rPr>
        <w:t>2</w:t>
      </w:r>
      <w:r w:rsidRPr="000612E5">
        <w:rPr>
          <w:rFonts w:ascii="Times New Roman" w:eastAsia="Times New Roman" w:hAnsi="Times New Roman"/>
          <w:sz w:val="24"/>
          <w:szCs w:val="24"/>
          <w:lang w:eastAsia="lt-LT"/>
        </w:rPr>
        <w:t>. renginiams reikaling</w:t>
      </w:r>
      <w:r w:rsidR="00A40B70">
        <w:rPr>
          <w:rFonts w:ascii="Times New Roman" w:eastAsia="Times New Roman" w:hAnsi="Times New Roman"/>
          <w:sz w:val="24"/>
          <w:szCs w:val="24"/>
          <w:lang w:eastAsia="lt-LT"/>
        </w:rPr>
        <w:t>a</w:t>
      </w:r>
      <w:r w:rsidRPr="000612E5">
        <w:rPr>
          <w:rFonts w:ascii="Times New Roman" w:eastAsia="Times New Roman" w:hAnsi="Times New Roman"/>
          <w:sz w:val="24"/>
          <w:szCs w:val="24"/>
          <w:lang w:eastAsia="lt-LT"/>
        </w:rPr>
        <w:t>s vertimo paslaugas</w:t>
      </w:r>
      <w:r w:rsidR="00F0767A">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lastRenderedPageBreak/>
        <w:t>III. BENDRIEJI REIKALAVIMAI PIRKIMO OBJEKTUI</w:t>
      </w:r>
    </w:p>
    <w:p w:rsidR="00DC2D24" w:rsidRDefault="00DC2D2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3.1. Paslaugų teikėjas turi teikti aukščiausios kokybės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aslaugas, atitinkančias konkretaus renginio lygį, pobūdį, specifiką, tinkamai reprezentuojant Lietuvą, jos istoriją ir kultūrą. Renginio metu turi būti naudojama kokybiška ir pažangi organizacinė technika, informacinės technologijos, kita įranga, konstrukcijos, priemonės ir inventorius, užtikrinama saugi ir sveika aplinka renginių dalyviams ir organizatoriams.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3.2. Paslaugų teikėjas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aslaugoms teikti laiku ir kokybiškai.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3.3. Paslaugų teikėjas, teikdamas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3.4. Kai perkančiajai organizacijai užsakant šios techninės specifikacijos </w:t>
      </w:r>
      <w:r w:rsidRPr="00B27020">
        <w:rPr>
          <w:rFonts w:ascii="Times New Roman" w:eastAsia="Times New Roman" w:hAnsi="Times New Roman"/>
          <w:color w:val="000000" w:themeColor="text1"/>
          <w:sz w:val="24"/>
          <w:szCs w:val="24"/>
          <w:lang w:eastAsia="lt-LT"/>
        </w:rPr>
        <w:t>2.3.1</w:t>
      </w:r>
      <w:r w:rsidR="002D7E0B" w:rsidRPr="00B27020">
        <w:rPr>
          <w:rFonts w:ascii="Times New Roman" w:eastAsia="Times New Roman" w:hAnsi="Times New Roman"/>
          <w:color w:val="000000" w:themeColor="text1"/>
          <w:sz w:val="24"/>
          <w:szCs w:val="24"/>
          <w:lang w:eastAsia="lt-LT"/>
        </w:rPr>
        <w:t xml:space="preserve">, </w:t>
      </w:r>
      <w:r w:rsidRPr="00B27020">
        <w:rPr>
          <w:rFonts w:ascii="Times New Roman" w:eastAsia="Times New Roman" w:hAnsi="Times New Roman"/>
          <w:color w:val="000000" w:themeColor="text1"/>
          <w:sz w:val="24"/>
          <w:szCs w:val="24"/>
          <w:lang w:eastAsia="lt-LT"/>
        </w:rPr>
        <w:t xml:space="preserve">2.3.3, </w:t>
      </w:r>
      <w:r w:rsidR="0053123A" w:rsidRPr="00B27020">
        <w:rPr>
          <w:rFonts w:ascii="Times New Roman" w:eastAsia="Times New Roman" w:hAnsi="Times New Roman"/>
          <w:color w:val="000000" w:themeColor="text1"/>
          <w:sz w:val="24"/>
          <w:szCs w:val="24"/>
          <w:lang w:eastAsia="lt-LT"/>
        </w:rPr>
        <w:t>2.3.5-</w:t>
      </w:r>
      <w:r w:rsidR="00B27020" w:rsidRPr="00B27020">
        <w:rPr>
          <w:rFonts w:ascii="Times New Roman" w:eastAsia="Times New Roman" w:hAnsi="Times New Roman"/>
          <w:color w:val="000000" w:themeColor="text1"/>
          <w:sz w:val="24"/>
          <w:szCs w:val="24"/>
          <w:lang w:eastAsia="lt-LT"/>
        </w:rPr>
        <w:t>2.3.6</w:t>
      </w:r>
      <w:r w:rsidRPr="00B27020">
        <w:rPr>
          <w:rFonts w:ascii="Times New Roman" w:eastAsia="Times New Roman" w:hAnsi="Times New Roman"/>
          <w:color w:val="000000" w:themeColor="text1"/>
          <w:sz w:val="24"/>
          <w:szCs w:val="24"/>
          <w:lang w:eastAsia="lt-LT"/>
        </w:rPr>
        <w:t xml:space="preserve"> </w:t>
      </w:r>
      <w:r w:rsidR="00B27020" w:rsidRPr="00B27020">
        <w:rPr>
          <w:rFonts w:ascii="Times New Roman" w:eastAsia="Times New Roman" w:hAnsi="Times New Roman"/>
          <w:color w:val="000000" w:themeColor="text1"/>
          <w:sz w:val="24"/>
          <w:szCs w:val="24"/>
          <w:lang w:eastAsia="lt-LT"/>
        </w:rPr>
        <w:t xml:space="preserve">ar </w:t>
      </w:r>
      <w:r w:rsidRPr="00B27020">
        <w:rPr>
          <w:rFonts w:ascii="Times New Roman" w:eastAsia="Times New Roman" w:hAnsi="Times New Roman"/>
          <w:color w:val="000000" w:themeColor="text1"/>
          <w:sz w:val="24"/>
          <w:szCs w:val="24"/>
          <w:lang w:eastAsia="lt-LT"/>
        </w:rPr>
        <w:t>2.3.</w:t>
      </w:r>
      <w:r w:rsidR="002D7E0B" w:rsidRPr="00B27020">
        <w:rPr>
          <w:rFonts w:ascii="Times New Roman" w:eastAsia="Times New Roman" w:hAnsi="Times New Roman"/>
          <w:color w:val="000000" w:themeColor="text1"/>
          <w:sz w:val="24"/>
          <w:szCs w:val="24"/>
          <w:lang w:eastAsia="lt-LT"/>
        </w:rPr>
        <w:t>10-</w:t>
      </w:r>
      <w:r w:rsidR="00F0767A" w:rsidRPr="00B27020">
        <w:rPr>
          <w:rFonts w:ascii="Times New Roman" w:eastAsia="Times New Roman" w:hAnsi="Times New Roman"/>
          <w:color w:val="000000" w:themeColor="text1"/>
          <w:sz w:val="24"/>
          <w:szCs w:val="24"/>
          <w:lang w:eastAsia="lt-LT"/>
        </w:rPr>
        <w:t>2</w:t>
      </w:r>
      <w:r w:rsidRPr="00B27020">
        <w:rPr>
          <w:rFonts w:ascii="Times New Roman" w:eastAsia="Times New Roman" w:hAnsi="Times New Roman"/>
          <w:color w:val="000000" w:themeColor="text1"/>
          <w:sz w:val="24"/>
          <w:szCs w:val="24"/>
          <w:lang w:eastAsia="lt-LT"/>
        </w:rPr>
        <w:t xml:space="preserve">.3.11 papunkčiuose nurodytas paslaugas ir (ar) prekes, ir </w:t>
      </w:r>
      <w:r w:rsidR="00DC2D24" w:rsidRPr="00B27020">
        <w:rPr>
          <w:rFonts w:ascii="Times New Roman" w:eastAsia="Times New Roman" w:hAnsi="Times New Roman"/>
          <w:color w:val="000000" w:themeColor="text1"/>
          <w:sz w:val="24"/>
          <w:szCs w:val="24"/>
          <w:lang w:eastAsia="lt-LT"/>
        </w:rPr>
        <w:t>p</w:t>
      </w:r>
      <w:r w:rsidRPr="00B27020">
        <w:rPr>
          <w:rFonts w:ascii="Times New Roman" w:eastAsia="Times New Roman" w:hAnsi="Times New Roman"/>
          <w:color w:val="000000" w:themeColor="text1"/>
          <w:sz w:val="24"/>
          <w:szCs w:val="24"/>
          <w:lang w:eastAsia="lt-LT"/>
        </w:rPr>
        <w:t xml:space="preserve">aslaugų teikėjui šių paslaugų teikimui ir (ar) prekių tiekimui reikalinga pasitelkti kitus ūkio subjektus (toliau </w:t>
      </w:r>
      <w:r w:rsidRPr="000612E5">
        <w:rPr>
          <w:rFonts w:ascii="Times New Roman" w:eastAsia="Times New Roman" w:hAnsi="Times New Roman"/>
          <w:sz w:val="24"/>
          <w:szCs w:val="24"/>
          <w:lang w:eastAsia="lt-LT"/>
        </w:rPr>
        <w:t>šiame punkte – ūkio subjektas) ar pasinaudoti jų ištekliais: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3.4.1. Paslaugų teikėjas, atlikdamas ūkio subjekto paiešką, apklausą, parinkimą privalo:</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3.4.1.1. siekti, kad įsigyjant perkančiajai organizacijai reikalingas paslaugas ir prekes būtų racionaliai naudojamos tam skirtos perkančiosios organizacijos lėšos;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3.4.1.2. įsitikinti, kad ūkio subjektai turi teisę verstis atitinkama veikla (turi būtinus galiojančius leidimus, licencijas, kitus administracinius dokumentus);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3.4.1.3. atsižvelgti į šios techninės specifikacijos XVI dalyje nustatytus minimalius aplinkos apsaugos kriterijus.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3.4.2. Paslaugų ir prekių kainos turi atitikti rinkos kainas ir turi būti derinamos su perkančiąja organizacija, pateikiant kainą pagrindžiančius dokumentus, o perkančiajai organizacijai reikalaujant – mažiausiai 3 (trijų) (kai įmanoma) ūkio subjektų pasiūlymus ir kitą informaciją.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3.4.3. Siekiant racionaliai naudoti lėšas, perkančiosios organizacijos prašymu,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teikėjas privalo organizuoti trišales perkančiosios organizacijos,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teikėjo ir ūkio subjekto derybas dėl paslaugų teikimo ir (ar) prekių tiekimo sąlygų, kainų, nuolaidų ar paramos taikymo galimybės ir pan.</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3.5. Siekiant užtikrinti sėkmingą ir sklandų renginių organizavimą ir vykdymą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teikėjas, teikdamas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aslaugas turi bendradarbiauti su kitais perkančiosios organizacijos tiekėjais, tiekiančiais prekes, teikiančiais paslaugas ir atliekančiais darbus, reikalingus konkrečiam renginiui organizuoti pagal kitas perkančiosios organizacijos viešojo pirkimo–pardavimo sutartis.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3.6. Paslaugų užsakymo terminai:</w:t>
      </w:r>
    </w:p>
    <w:p w:rsidR="000612E5" w:rsidRPr="009E0E0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9E0E0E">
        <w:rPr>
          <w:rFonts w:ascii="Times New Roman" w:eastAsia="Times New Roman" w:hAnsi="Times New Roman"/>
          <w:color w:val="000000" w:themeColor="text1"/>
          <w:sz w:val="24"/>
          <w:szCs w:val="24"/>
          <w:lang w:eastAsia="lt-LT"/>
        </w:rPr>
        <w:t xml:space="preserve">3.6.1. perkančioji organizacija atsižvelgdama į renginio pobūdį, mastą ir kitas aplinkybes, siekdama nustatyti pakankamą pasirengimo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 xml:space="preserve">aslaugų teikimui ir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 xml:space="preserve">aslaugų teikimo terminą,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 xml:space="preserve">aslaugų užsakymą pateikia nedelsiant, kai tik paaiškėja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 xml:space="preserve">aslaugų poreikis, bet ne vėliau nei likus </w:t>
      </w:r>
      <w:r w:rsidR="009E0E0E" w:rsidRPr="009E0E0E">
        <w:rPr>
          <w:rFonts w:ascii="Times New Roman" w:eastAsia="Times New Roman" w:hAnsi="Times New Roman"/>
          <w:color w:val="000000" w:themeColor="text1"/>
          <w:sz w:val="24"/>
          <w:szCs w:val="24"/>
          <w:lang w:eastAsia="lt-LT"/>
        </w:rPr>
        <w:t xml:space="preserve">10 </w:t>
      </w:r>
      <w:r w:rsidRPr="009E0E0E">
        <w:rPr>
          <w:rFonts w:ascii="Times New Roman" w:eastAsia="Times New Roman" w:hAnsi="Times New Roman"/>
          <w:color w:val="000000" w:themeColor="text1"/>
          <w:sz w:val="24"/>
          <w:szCs w:val="24"/>
          <w:lang w:eastAsia="lt-LT"/>
        </w:rPr>
        <w:t>(</w:t>
      </w:r>
      <w:r w:rsidR="009E0E0E" w:rsidRPr="009E0E0E">
        <w:rPr>
          <w:rFonts w:ascii="Times New Roman" w:eastAsia="Times New Roman" w:hAnsi="Times New Roman"/>
          <w:color w:val="000000" w:themeColor="text1"/>
          <w:sz w:val="24"/>
          <w:szCs w:val="24"/>
          <w:lang w:eastAsia="lt-LT"/>
        </w:rPr>
        <w:t>dešimt</w:t>
      </w:r>
      <w:r w:rsidRPr="009E0E0E">
        <w:rPr>
          <w:rFonts w:ascii="Times New Roman" w:eastAsia="Times New Roman" w:hAnsi="Times New Roman"/>
          <w:color w:val="000000" w:themeColor="text1"/>
          <w:sz w:val="24"/>
          <w:szCs w:val="24"/>
          <w:lang w:eastAsia="lt-LT"/>
        </w:rPr>
        <w:t>) darbo dien</w:t>
      </w:r>
      <w:r w:rsidR="009E0E0E" w:rsidRPr="009E0E0E">
        <w:rPr>
          <w:rFonts w:ascii="Times New Roman" w:eastAsia="Times New Roman" w:hAnsi="Times New Roman"/>
          <w:color w:val="000000" w:themeColor="text1"/>
          <w:sz w:val="24"/>
          <w:szCs w:val="24"/>
          <w:lang w:eastAsia="lt-LT"/>
        </w:rPr>
        <w:t>ų</w:t>
      </w:r>
      <w:r w:rsidRPr="009E0E0E">
        <w:rPr>
          <w:rFonts w:ascii="Times New Roman" w:eastAsia="Times New Roman" w:hAnsi="Times New Roman"/>
          <w:color w:val="000000" w:themeColor="text1"/>
          <w:sz w:val="24"/>
          <w:szCs w:val="24"/>
          <w:lang w:eastAsia="lt-LT"/>
        </w:rPr>
        <w:t xml:space="preserve"> iki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aslaugų teikimo;</w:t>
      </w:r>
    </w:p>
    <w:p w:rsidR="000612E5" w:rsidRPr="009E0E0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9E0E0E">
        <w:rPr>
          <w:rFonts w:ascii="Times New Roman" w:eastAsia="Times New Roman" w:hAnsi="Times New Roman"/>
          <w:color w:val="000000" w:themeColor="text1"/>
          <w:sz w:val="24"/>
          <w:szCs w:val="24"/>
          <w:lang w:eastAsia="lt-LT"/>
        </w:rPr>
        <w:t xml:space="preserve">3.6.2. esant nenumatytoms, nuo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 xml:space="preserve">erkančiosios organizacijos nepriklausančioms, aplinkybėms arba užsakant nesudėtingo renginio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 xml:space="preserve">aslaugas (pvz., darbo ar neformalaus susitikimo viešojo maitinimo įstaigoje organizavimo paslaugas),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 xml:space="preserve">erkančioji organizacija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aslaugų u</w:t>
      </w:r>
      <w:r w:rsidR="009E0E0E" w:rsidRPr="009E0E0E">
        <w:rPr>
          <w:rFonts w:ascii="Times New Roman" w:eastAsia="Times New Roman" w:hAnsi="Times New Roman"/>
          <w:color w:val="000000" w:themeColor="text1"/>
          <w:sz w:val="24"/>
          <w:szCs w:val="24"/>
          <w:lang w:eastAsia="lt-LT"/>
        </w:rPr>
        <w:t xml:space="preserve">žsakymą gali pateikti ne vėliau nei likus 5 </w:t>
      </w:r>
      <w:r w:rsidRPr="009E0E0E">
        <w:rPr>
          <w:rFonts w:ascii="Times New Roman" w:eastAsia="Times New Roman" w:hAnsi="Times New Roman"/>
          <w:color w:val="000000" w:themeColor="text1"/>
          <w:sz w:val="24"/>
          <w:szCs w:val="24"/>
          <w:lang w:eastAsia="lt-LT"/>
        </w:rPr>
        <w:t xml:space="preserve">(penkioms) darbo dienoms iki </w:t>
      </w:r>
      <w:r w:rsidR="00DC2D24">
        <w:rPr>
          <w:rFonts w:ascii="Times New Roman" w:eastAsia="Times New Roman" w:hAnsi="Times New Roman"/>
          <w:color w:val="000000" w:themeColor="text1"/>
          <w:sz w:val="24"/>
          <w:szCs w:val="24"/>
          <w:lang w:eastAsia="lt-LT"/>
        </w:rPr>
        <w:t>p</w:t>
      </w:r>
      <w:r w:rsidRPr="009E0E0E">
        <w:rPr>
          <w:rFonts w:ascii="Times New Roman" w:eastAsia="Times New Roman" w:hAnsi="Times New Roman"/>
          <w:color w:val="000000" w:themeColor="text1"/>
          <w:sz w:val="24"/>
          <w:szCs w:val="24"/>
          <w:lang w:eastAsia="lt-LT"/>
        </w:rPr>
        <w:t>aslaugų teikimo</w:t>
      </w:r>
      <w:r w:rsidR="00EC5F79">
        <w:rPr>
          <w:rFonts w:ascii="Times New Roman" w:eastAsia="Times New Roman" w:hAnsi="Times New Roman"/>
          <w:color w:val="000000" w:themeColor="text1"/>
          <w:sz w:val="24"/>
          <w:szCs w:val="24"/>
          <w:lang w:eastAsia="lt-LT"/>
        </w:rPr>
        <w:t>.</w:t>
      </w:r>
    </w:p>
    <w:p w:rsidR="00F0767A" w:rsidRPr="00F0767A"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F0767A">
        <w:rPr>
          <w:rFonts w:ascii="Times New Roman" w:eastAsia="Times New Roman" w:hAnsi="Times New Roman"/>
          <w:sz w:val="24"/>
          <w:szCs w:val="24"/>
          <w:lang w:eastAsia="lt-LT"/>
        </w:rPr>
        <w:t>3.7. Perkamos paslaugos apima šias renginio masto (dalyvių skaičiaus) kategorijas:</w:t>
      </w:r>
    </w:p>
    <w:p w:rsidR="00F0767A" w:rsidRPr="00F0767A"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F0767A">
        <w:rPr>
          <w:rFonts w:ascii="Times New Roman" w:eastAsia="Times New Roman" w:hAnsi="Times New Roman"/>
          <w:sz w:val="24"/>
          <w:szCs w:val="24"/>
          <w:lang w:eastAsia="lt-LT"/>
        </w:rPr>
        <w:t xml:space="preserve">3.7.1. Renginio masto kategorija (A) – iki </w:t>
      </w:r>
      <w:r>
        <w:rPr>
          <w:rFonts w:ascii="Times New Roman" w:eastAsia="Times New Roman" w:hAnsi="Times New Roman"/>
          <w:sz w:val="24"/>
          <w:szCs w:val="24"/>
          <w:lang w:eastAsia="lt-LT"/>
        </w:rPr>
        <w:t>25</w:t>
      </w:r>
      <w:r w:rsidRPr="00F0767A">
        <w:rPr>
          <w:rFonts w:ascii="Times New Roman" w:eastAsia="Times New Roman" w:hAnsi="Times New Roman"/>
          <w:sz w:val="24"/>
          <w:szCs w:val="24"/>
          <w:lang w:eastAsia="lt-LT"/>
        </w:rPr>
        <w:t xml:space="preserve"> dalyvių;</w:t>
      </w:r>
    </w:p>
    <w:p w:rsidR="00F0767A" w:rsidRPr="00F0767A"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F0767A">
        <w:rPr>
          <w:rFonts w:ascii="Times New Roman" w:eastAsia="Times New Roman" w:hAnsi="Times New Roman"/>
          <w:sz w:val="24"/>
          <w:szCs w:val="24"/>
          <w:lang w:eastAsia="lt-LT"/>
        </w:rPr>
        <w:t xml:space="preserve">3.7.2. Renginio masto kategorija (B) – nuo </w:t>
      </w:r>
      <w:r>
        <w:rPr>
          <w:rFonts w:ascii="Times New Roman" w:eastAsia="Times New Roman" w:hAnsi="Times New Roman"/>
          <w:sz w:val="24"/>
          <w:szCs w:val="24"/>
          <w:lang w:eastAsia="lt-LT"/>
        </w:rPr>
        <w:t>25</w:t>
      </w:r>
      <w:r w:rsidRPr="00F0767A">
        <w:rPr>
          <w:rFonts w:ascii="Times New Roman" w:eastAsia="Times New Roman" w:hAnsi="Times New Roman"/>
          <w:sz w:val="24"/>
          <w:szCs w:val="24"/>
          <w:lang w:eastAsia="lt-LT"/>
        </w:rPr>
        <w:t xml:space="preserve"> iki </w:t>
      </w:r>
      <w:r>
        <w:rPr>
          <w:rFonts w:ascii="Times New Roman" w:eastAsia="Times New Roman" w:hAnsi="Times New Roman"/>
          <w:sz w:val="24"/>
          <w:szCs w:val="24"/>
          <w:lang w:eastAsia="lt-LT"/>
        </w:rPr>
        <w:t>50</w:t>
      </w:r>
      <w:r w:rsidRPr="00F0767A">
        <w:rPr>
          <w:rFonts w:ascii="Times New Roman" w:eastAsia="Times New Roman" w:hAnsi="Times New Roman"/>
          <w:sz w:val="24"/>
          <w:szCs w:val="24"/>
          <w:lang w:eastAsia="lt-LT"/>
        </w:rPr>
        <w:t xml:space="preserve"> dalyvių</w:t>
      </w:r>
      <w:r>
        <w:rPr>
          <w:rFonts w:ascii="Times New Roman" w:eastAsia="Times New Roman" w:hAnsi="Times New Roman"/>
          <w:sz w:val="24"/>
          <w:szCs w:val="24"/>
          <w:lang w:eastAsia="lt-LT"/>
        </w:rPr>
        <w:t>;</w:t>
      </w:r>
    </w:p>
    <w:p w:rsidR="00F0767A"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F0767A">
        <w:rPr>
          <w:rFonts w:ascii="Times New Roman" w:eastAsia="Times New Roman" w:hAnsi="Times New Roman"/>
          <w:sz w:val="24"/>
          <w:szCs w:val="24"/>
          <w:lang w:eastAsia="lt-LT"/>
        </w:rPr>
        <w:t xml:space="preserve">3.7.3. Renginio masto kategorija (C) – </w:t>
      </w:r>
      <w:r>
        <w:rPr>
          <w:rFonts w:ascii="Times New Roman" w:eastAsia="Times New Roman" w:hAnsi="Times New Roman"/>
          <w:sz w:val="24"/>
          <w:szCs w:val="24"/>
          <w:lang w:eastAsia="lt-LT"/>
        </w:rPr>
        <w:t>nuo 50 iki 100 dalyvių;</w:t>
      </w:r>
    </w:p>
    <w:p w:rsidR="00F0767A" w:rsidRDefault="00F0767A" w:rsidP="00F0767A">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3.7.4. </w:t>
      </w:r>
      <w:r w:rsidRPr="00F0767A">
        <w:rPr>
          <w:rFonts w:ascii="Times New Roman" w:eastAsia="Times New Roman" w:hAnsi="Times New Roman"/>
          <w:sz w:val="24"/>
          <w:szCs w:val="24"/>
          <w:lang w:eastAsia="lt-LT"/>
        </w:rPr>
        <w:t>Renginio masto kategorija (</w:t>
      </w:r>
      <w:r>
        <w:rPr>
          <w:rFonts w:ascii="Times New Roman" w:eastAsia="Times New Roman" w:hAnsi="Times New Roman"/>
          <w:sz w:val="24"/>
          <w:szCs w:val="24"/>
          <w:lang w:eastAsia="lt-LT"/>
        </w:rPr>
        <w:t>D</w:t>
      </w:r>
      <w:r w:rsidRPr="00F0767A">
        <w:rPr>
          <w:rFonts w:ascii="Times New Roman" w:eastAsia="Times New Roman" w:hAnsi="Times New Roman"/>
          <w:sz w:val="24"/>
          <w:szCs w:val="24"/>
          <w:lang w:eastAsia="lt-LT"/>
        </w:rPr>
        <w:t xml:space="preserve">) – nuo </w:t>
      </w:r>
      <w:r>
        <w:rPr>
          <w:rFonts w:ascii="Times New Roman" w:eastAsia="Times New Roman" w:hAnsi="Times New Roman"/>
          <w:sz w:val="24"/>
          <w:szCs w:val="24"/>
          <w:lang w:eastAsia="lt-LT"/>
        </w:rPr>
        <w:t>100</w:t>
      </w:r>
      <w:r w:rsidRPr="00F0767A">
        <w:rPr>
          <w:rFonts w:ascii="Times New Roman" w:eastAsia="Times New Roman" w:hAnsi="Times New Roman"/>
          <w:sz w:val="24"/>
          <w:szCs w:val="24"/>
          <w:lang w:eastAsia="lt-LT"/>
        </w:rPr>
        <w:t xml:space="preserve"> iki </w:t>
      </w:r>
      <w:r>
        <w:rPr>
          <w:rFonts w:ascii="Times New Roman" w:eastAsia="Times New Roman" w:hAnsi="Times New Roman"/>
          <w:sz w:val="24"/>
          <w:szCs w:val="24"/>
          <w:lang w:eastAsia="lt-LT"/>
        </w:rPr>
        <w:t>2</w:t>
      </w:r>
      <w:r w:rsidRPr="00F0767A">
        <w:rPr>
          <w:rFonts w:ascii="Times New Roman" w:eastAsia="Times New Roman" w:hAnsi="Times New Roman"/>
          <w:sz w:val="24"/>
          <w:szCs w:val="24"/>
          <w:lang w:eastAsia="lt-LT"/>
        </w:rPr>
        <w:t>00 dalyvių</w:t>
      </w:r>
      <w:r w:rsidR="00ED60FE">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w:t>
      </w:r>
      <w:r w:rsidR="00F0767A">
        <w:rPr>
          <w:rFonts w:ascii="Times New Roman" w:eastAsia="Times New Roman" w:hAnsi="Times New Roman"/>
          <w:sz w:val="24"/>
          <w:szCs w:val="24"/>
          <w:lang w:eastAsia="lt-LT"/>
        </w:rPr>
        <w:t>8</w:t>
      </w:r>
      <w:r w:rsidRPr="000612E5">
        <w:rPr>
          <w:rFonts w:ascii="Times New Roman" w:eastAsia="Times New Roman" w:hAnsi="Times New Roman"/>
          <w:sz w:val="24"/>
          <w:szCs w:val="24"/>
          <w:lang w:eastAsia="lt-LT"/>
        </w:rPr>
        <w:t>. Esant poreikiui paslaugos be papildomo mokesčio turi būti teikiamos ir ne darbo bei švenčių dienomis, ne darbo valandomis.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w:t>
      </w:r>
      <w:r w:rsidR="00F0767A">
        <w:rPr>
          <w:rFonts w:ascii="Times New Roman" w:eastAsia="Times New Roman" w:hAnsi="Times New Roman"/>
          <w:sz w:val="24"/>
          <w:szCs w:val="24"/>
          <w:lang w:eastAsia="lt-LT"/>
        </w:rPr>
        <w:t>9</w:t>
      </w:r>
      <w:r w:rsidRPr="000612E5">
        <w:rPr>
          <w:rFonts w:ascii="Times New Roman" w:eastAsia="Times New Roman" w:hAnsi="Times New Roman"/>
          <w:sz w:val="24"/>
          <w:szCs w:val="24"/>
          <w:lang w:eastAsia="lt-LT"/>
        </w:rPr>
        <w:t xml:space="preserve">. Paslaugų teikėjas privalo kaupti bei sisteminti išsamius duomenis apie suteiktas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aslaugas pagal suteiktų paslaugų rūšis, renginio vykimo vietą, dalyvių skaičių, apimtis, sumokėtas sumas ir pan., juos teikti perkančiajai organizacijai paprašius ne vėliau kaip per 5 (penkias) darbo dienas nuo prašymo pateikimo dienos.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IV. RENGINIO PLANAVIMO IR APTARNAVIMO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4.1. </w:t>
      </w:r>
      <w:r w:rsidR="0063601E" w:rsidRPr="0063601E">
        <w:rPr>
          <w:rFonts w:ascii="Times New Roman" w:eastAsia="Times New Roman" w:hAnsi="Times New Roman"/>
          <w:sz w:val="24"/>
          <w:szCs w:val="24"/>
          <w:lang w:eastAsia="lt-LT"/>
        </w:rPr>
        <w:t xml:space="preserve">Renginio planavimo, organizavimo ir aptarnavimo </w:t>
      </w:r>
      <w:r w:rsidRPr="000612E5">
        <w:rPr>
          <w:rFonts w:ascii="Times New Roman" w:eastAsia="Times New Roman" w:hAnsi="Times New Roman"/>
          <w:sz w:val="24"/>
          <w:szCs w:val="24"/>
          <w:lang w:eastAsia="lt-LT"/>
        </w:rPr>
        <w:t xml:space="preserve">paslaugas perkančioji organizacija užsako pagal poreikį. Tikslesnė informacija apie renginio planavimo ir aptarnavimo paslaugas, joms keliamus atlikimo terminų, vietos, turinio, techninius, reikalingo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teikėjo personalo skaičiaus ir kitus reikalavimus bus pateikiama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užsakymo metu.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4.1.1. </w:t>
      </w:r>
      <w:r w:rsidR="0063601E" w:rsidRPr="0063601E">
        <w:rPr>
          <w:rFonts w:ascii="Times New Roman" w:eastAsia="Times New Roman" w:hAnsi="Times New Roman"/>
          <w:sz w:val="24"/>
          <w:szCs w:val="24"/>
          <w:lang w:eastAsia="lt-LT"/>
        </w:rPr>
        <w:t xml:space="preserve">Renginio planavimo, organizavimo ir aptarnavimo </w:t>
      </w:r>
      <w:r w:rsidRPr="000612E5">
        <w:rPr>
          <w:rFonts w:ascii="Times New Roman" w:eastAsia="Times New Roman" w:hAnsi="Times New Roman"/>
          <w:sz w:val="24"/>
          <w:szCs w:val="24"/>
          <w:lang w:eastAsia="lt-LT"/>
        </w:rPr>
        <w:t>paslaugų reikalavimai: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4.1.1.1. </w:t>
      </w:r>
      <w:r w:rsidR="00134C7A" w:rsidRPr="00134C7A">
        <w:rPr>
          <w:rFonts w:ascii="Times New Roman" w:eastAsia="Times New Roman" w:hAnsi="Times New Roman"/>
          <w:sz w:val="24"/>
          <w:szCs w:val="24"/>
          <w:lang w:eastAsia="lt-LT"/>
        </w:rPr>
        <w:t xml:space="preserve">Renginio planavimo konsultacinės paslaugos, kurios apima renginio koncepcijos, temos idėjų pasiūlymų pateikimą, renginio scenarijaus ir programos (plano, tvarkaraščio) parengimą, </w:t>
      </w:r>
      <w:r w:rsidR="0066410C" w:rsidRPr="0066410C">
        <w:rPr>
          <w:rFonts w:ascii="Times New Roman" w:eastAsia="Times New Roman" w:hAnsi="Times New Roman"/>
          <w:sz w:val="24"/>
          <w:szCs w:val="24"/>
          <w:lang w:eastAsia="lt-LT"/>
        </w:rPr>
        <w:t xml:space="preserve">nustatytus reikalavimus atitinkančios renginio vietos paiešką, renginio vietos rezervavimą, nuomos organizavimą, </w:t>
      </w:r>
      <w:r w:rsidR="00134C7A" w:rsidRPr="0066410C">
        <w:rPr>
          <w:rFonts w:ascii="Times New Roman" w:eastAsia="Times New Roman" w:hAnsi="Times New Roman"/>
          <w:sz w:val="24"/>
          <w:szCs w:val="24"/>
          <w:lang w:eastAsia="lt-LT"/>
        </w:rPr>
        <w:t xml:space="preserve">renginio </w:t>
      </w:r>
      <w:r w:rsidR="00134C7A" w:rsidRPr="00134C7A">
        <w:rPr>
          <w:rFonts w:ascii="Times New Roman" w:eastAsia="Times New Roman" w:hAnsi="Times New Roman"/>
          <w:sz w:val="24"/>
          <w:szCs w:val="24"/>
          <w:lang w:eastAsia="lt-LT"/>
        </w:rPr>
        <w:t>vietos apipavidalinimo, dekoravimo koncepcijos parengimą, dekoracijų užsakymą ir suderinimą su perkančiąja organizacija ir panašias paslaugas</w:t>
      </w:r>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4.1.1.2. Renginio vedėjų, moderatorių, atlikėjų, pranešėjų, vertėjų</w:t>
      </w:r>
      <w:r w:rsidR="002D7703">
        <w:rPr>
          <w:rFonts w:ascii="Times New Roman" w:eastAsia="Times New Roman" w:hAnsi="Times New Roman"/>
          <w:sz w:val="24"/>
          <w:szCs w:val="24"/>
          <w:lang w:eastAsia="lt-LT"/>
        </w:rPr>
        <w:t>, lektorių</w:t>
      </w:r>
      <w:r w:rsidRPr="000612E5">
        <w:rPr>
          <w:rFonts w:ascii="Times New Roman" w:eastAsia="Times New Roman" w:hAnsi="Times New Roman"/>
          <w:sz w:val="24"/>
          <w:szCs w:val="24"/>
          <w:lang w:eastAsia="lt-LT"/>
        </w:rPr>
        <w:t xml:space="preserve"> ir pan. paieškos, parūpinimo ir panašios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4.1.1.3. Renginio programos (scenarijaus, plano, tvarkaraščio) režisūra, koordinavimas ir techninis-organizacinis aptarnavimas (pvz., asistentų darbas) ;</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4.1.1.4. Kvietimų į renginį teksto parengimas ir išsiuntimas renginio dalyviams.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4.1.1.5. Išankstinis renginio dalyvių registravimo organizavimas ir vykdymas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4.1.1.6. Renginio dalyvių registracija, kuri renginio vietoje turi būti pradedama likus ne mažiau negu 1 (vienai) valandai iki renginio pradžios, jei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užsakyme nenurodyta kitaip;</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3.1.1.7. Renginio dalyvių pasitikimas, lydėjimas, išlydėjimas, kitos panašios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4.1.1.8. Dalyvių kortelių, dalomosios medžiagos, kanceliarinių reikmenų dalinimas ir panašios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4.1.1.9. Renginio dalyvių konsultavimas organizaciniais renginio klausimais, kitos panašios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4.1.1.10. Pagalba renginio vedėjams, moderatoriams, atlikėjams, pranešėjams, lektoriams ir kitos panašios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4.1.1.11. Renginio vietos paruošimo paslaugos – renginio įrangos, konstrukcijų, apipavidalinimo ar dekoro elementų (įskaitant baldus) ir kitų priemonių, reikmenų ar inventoriaus tinkamumo naudoti patikrinimas, išdėstymas pagal su perkančiąja organizacija suderintą planą.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4.1.1.12.  Renginio vietos valymas renginio metu, įvykus smulkiam incidentui ar esant kitai būtinybei, o renginiui pasibaigus renginio vietos papildomas sutvarkymas;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4.2. Renginio aptarnavimo paslaugų savalaikiam ir kokybiškam atlikimui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teikėjas turi užtikrinti šių kategorijų personalą: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4.2.1. Vyresnįjį administracinį personalą, teikiantį šios techninės specifikacijos 4.1.1.1–4.1.1.4 ir 4.1.1.9–4.1.1.10 papunkčiuose nurodytas ir panašias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4.2.2. Jaunesnįjį administracinį personalą, teikiantį šios techninės specifikacijos 4.1.1.5–4.1.1.8 papunkčiuose nurodytas ir panašias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4.2.3. Pagalbinį personalą, teikiantį šios techninės specifikacijos 4.1.1.11–4.1.1.12 papunkčiuose nurodytas ir panašias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4.3. Paslaugų teikėjo vyresnysis ir jaunesnysis administracinis personalas privalo:</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4.3.1. Gerai mokėti lietuvių kalbą (ne žemesniu nei </w:t>
      </w:r>
      <w:r w:rsidR="00EC5F79">
        <w:rPr>
          <w:rFonts w:ascii="Times New Roman" w:eastAsia="Times New Roman" w:hAnsi="Times New Roman"/>
          <w:sz w:val="24"/>
          <w:szCs w:val="24"/>
          <w:lang w:eastAsia="lt-LT"/>
        </w:rPr>
        <w:t>C1</w:t>
      </w:r>
      <w:r w:rsidRPr="000612E5">
        <w:rPr>
          <w:rFonts w:ascii="Times New Roman" w:eastAsia="Times New Roman" w:hAnsi="Times New Roman"/>
          <w:sz w:val="24"/>
          <w:szCs w:val="24"/>
          <w:lang w:eastAsia="lt-LT"/>
        </w:rPr>
        <w:t xml:space="preserve"> lygiu) ir esant poreikiui – anglų kalbą (ne žemesniu nei B</w:t>
      </w:r>
      <w:r w:rsidR="00EC5F79">
        <w:rPr>
          <w:rFonts w:ascii="Times New Roman" w:eastAsia="Times New Roman" w:hAnsi="Times New Roman"/>
          <w:sz w:val="24"/>
          <w:szCs w:val="24"/>
          <w:lang w:eastAsia="lt-LT"/>
        </w:rPr>
        <w:t>2</w:t>
      </w:r>
      <w:r w:rsidRPr="000612E5">
        <w:rPr>
          <w:rFonts w:ascii="Times New Roman" w:eastAsia="Times New Roman" w:hAnsi="Times New Roman"/>
          <w:sz w:val="24"/>
          <w:szCs w:val="24"/>
          <w:lang w:eastAsia="lt-LT"/>
        </w:rPr>
        <w:t xml:space="preserve"> lygiu).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lastRenderedPageBreak/>
        <w:t>4.3.2. Mokėti operatyviai spręsti iškilusias problemas, būti susipažinęs su situacija bei gebėti ją valdyti.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4.3.3. Būti komunikabilus, kantrus bei gebantis suteikti reikiamą pagalbą, esant reikalui.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4.4. </w:t>
      </w:r>
      <w:r w:rsidRPr="000612E5">
        <w:rPr>
          <w:rFonts w:ascii="Times New Roman" w:eastAsia="Times New Roman" w:hAnsi="Times New Roman"/>
          <w:sz w:val="24"/>
          <w:szCs w:val="24"/>
          <w:u w:val="single"/>
          <w:lang w:eastAsia="lt-LT"/>
        </w:rPr>
        <w:t>Renginio planavimo</w:t>
      </w:r>
      <w:r w:rsidR="008F329A">
        <w:rPr>
          <w:rFonts w:ascii="Times New Roman" w:eastAsia="Times New Roman" w:hAnsi="Times New Roman"/>
          <w:sz w:val="24"/>
          <w:szCs w:val="24"/>
          <w:u w:val="single"/>
          <w:lang w:eastAsia="lt-LT"/>
        </w:rPr>
        <w:t>, organizavimo</w:t>
      </w:r>
      <w:r w:rsidRPr="000612E5">
        <w:rPr>
          <w:rFonts w:ascii="Times New Roman" w:eastAsia="Times New Roman" w:hAnsi="Times New Roman"/>
          <w:sz w:val="24"/>
          <w:szCs w:val="24"/>
          <w:u w:val="single"/>
          <w:lang w:eastAsia="lt-LT"/>
        </w:rPr>
        <w:t xml:space="preserve"> ir aptarnavimo paslaugų kainodara</w:t>
      </w:r>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4.4.1. Renginio planavimo</w:t>
      </w:r>
      <w:r w:rsidR="008F329A">
        <w:rPr>
          <w:rFonts w:ascii="Times New Roman" w:eastAsia="Times New Roman" w:hAnsi="Times New Roman"/>
          <w:sz w:val="24"/>
          <w:szCs w:val="24"/>
          <w:lang w:eastAsia="lt-LT"/>
        </w:rPr>
        <w:t>, organizavimo</w:t>
      </w:r>
      <w:r w:rsidRPr="000612E5">
        <w:rPr>
          <w:rFonts w:ascii="Times New Roman" w:eastAsia="Times New Roman" w:hAnsi="Times New Roman"/>
          <w:sz w:val="24"/>
          <w:szCs w:val="24"/>
          <w:lang w:eastAsia="lt-LT"/>
        </w:rPr>
        <w:t xml:space="preserve"> ir aptarnavimo paslaugoms, išskyrus šios techninės specifikacijos 4.1.1.2 papunktyje nurodytas paslaugas, taikomas kainos apskaičiavimo būdas – fiksuotas įkainis.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4.4.2. Į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teikėjo personalo apmokamą darbo laiką negali būti įskaičiuotas šio personalo paslaugų, suteiktų pagal kitas šios techninės specifikacijos dalis, atlikimo laikas. Jei kyla pagrįstų abejonių dėl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teikėjo personalo darbo laiko kvalifikavimo, toks Paslaugų teikėjo personalo darbo laikas į apmokamą darbo laiką neįskaičiuojamas ir už jį pagal šį punktą neapmokama.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4.4.3. Renginio planavimo</w:t>
      </w:r>
      <w:r w:rsidR="008F329A">
        <w:rPr>
          <w:rFonts w:ascii="Times New Roman" w:eastAsia="Times New Roman" w:hAnsi="Times New Roman"/>
          <w:sz w:val="24"/>
          <w:szCs w:val="24"/>
          <w:lang w:eastAsia="lt-LT"/>
        </w:rPr>
        <w:t>, organizavimo</w:t>
      </w:r>
      <w:r w:rsidRPr="000612E5">
        <w:rPr>
          <w:rFonts w:ascii="Times New Roman" w:eastAsia="Times New Roman" w:hAnsi="Times New Roman"/>
          <w:sz w:val="24"/>
          <w:szCs w:val="24"/>
          <w:lang w:eastAsia="lt-LT"/>
        </w:rPr>
        <w:t xml:space="preserve"> ir aptarnavimo paslaugoms, nurodytoms šios techninės specifikacijos 4.1.1.2 papunktyje, taikomas kainos apskaičiavimo būdas – sutarties vykdymo išlaidų atlyginimas. Vienai kainos daliai – aptarnavimo mokesčiui už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teikėjo tiesiogiai suteikiamas paslaugas renginio vedėjų, moderatorių, atlikėjų, pranešėjų, </w:t>
      </w:r>
      <w:r w:rsidR="00F77690">
        <w:rPr>
          <w:rFonts w:ascii="Times New Roman" w:eastAsia="Times New Roman" w:hAnsi="Times New Roman"/>
          <w:sz w:val="24"/>
          <w:szCs w:val="24"/>
          <w:lang w:eastAsia="lt-LT"/>
        </w:rPr>
        <w:t xml:space="preserve">lektorių </w:t>
      </w:r>
      <w:r w:rsidRPr="000612E5">
        <w:rPr>
          <w:rFonts w:ascii="Times New Roman" w:eastAsia="Times New Roman" w:hAnsi="Times New Roman"/>
          <w:sz w:val="24"/>
          <w:szCs w:val="24"/>
          <w:lang w:eastAsia="lt-LT"/>
        </w:rPr>
        <w:t xml:space="preserve">ir pan. paieškos, parūpinimo ir panašias paslaugas – taikomas kainos apskaičiavimo būdas yra fiksuotas įkainis, o kitą kainos dalį – vedėjų, moderatorių, atlikėjų, pranešėjų, vertėjų, lektorių ir pan. suteiktų paslaugų kainą (honorarai ir kt.) – sudaro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teikėjo faktiškai patiriamos išlaidos, tiesiogiai susijusios su Sutarties vykdymu.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 xml:space="preserve">V. RENGINIO VIETOS </w:t>
      </w:r>
      <w:r w:rsidR="00873001">
        <w:rPr>
          <w:rFonts w:ascii="Times New Roman" w:eastAsia="Times New Roman" w:hAnsi="Times New Roman"/>
          <w:b/>
          <w:sz w:val="24"/>
          <w:szCs w:val="24"/>
          <w:lang w:eastAsia="lt-LT"/>
        </w:rPr>
        <w:t>NUOMOS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5.1. Renginio vietą (dažniausia patalpas), pavyzdžiui, konferencijų ar parodų centro salę, viešbučio salę ar pan. (toliau – renginio vieta), perkančioji organizacija užsako pagal poreikį. Tikslesnė informacija apie pageidaujamą renginio vietą, jai keliamus vietos (geografinės padėties), renginio vietos paruošimo (pvz., stalų, kėdžių, kito inventoriaus ar įrangos išdėstymo ir pan.), techninius, kokybinius, estetinius ir kitus reikalavimus bus pateikiama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užsakymo metu.</w:t>
      </w:r>
    </w:p>
    <w:p w:rsidR="000612E5" w:rsidRPr="0063601E"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63601E">
        <w:rPr>
          <w:rFonts w:ascii="Times New Roman" w:eastAsia="Times New Roman" w:hAnsi="Times New Roman"/>
          <w:sz w:val="24"/>
          <w:szCs w:val="24"/>
          <w:lang w:eastAsia="lt-LT"/>
        </w:rPr>
        <w:t>5.2. Renginio vietos nuomos paslaugos apima nustatytus reikalavimus atitinkančios renginio vietos nuomą, jei reikalingas leidimas, esant perkančiosios organizacijos prašymui, – leidimų gavimą ir/ar tarpininkavimą gaunat leidimą ir kitas susijusias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5.3. Paslaugų teikėjas yra atsakingas už galimų rizikų, atsižvelgiant į renginio ir renginio vietos specifiką, prevenciją (pvz.,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teikėjo siūlomos renginio vietos, esančios viešbutyje, faktinę atitiktį civilinės saugos (įskaitant, bet neapsiribojant, priešgaisrinę saugą) reikalavimams).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 konstrukcijos ir mechanizmai ir pan. yra tinkamos naudoti būklės, ar renginio vieta tinkama visiems naudoti (taip pat galimybė naudotis neįgaliesiems), ar renginio vieta turi visas priemones, reikalingas sėkmingam ir saugiam konkretaus renginio vykdymui. Šiuo tikslu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teikėjas turi iš anksto apsilankyti renginio vietoje, kad įsitikintų jos tinkamu organizavimu. Tokie vizitai turi būti atliekami iš anksto, kad prireikus būtų galima parinkti alternatyvią renginio vietą ar renginio vykdymo priemones.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5.4. Tais atvejais, kai renginio vietai keliamus reikalavimus atitinka daugiau nei viena vieta,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teikėjas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užsakymo derinimo metu turi siūlyti mažiausiai 3 (tris) alternatyvias renginio vietas, jei tokių vietų yra mažiau – visas galimas alternatyvias vietas, kartu nurodant preliminarias jų nuomos kainas.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5.5. Siekiant, kad perkančiosios organizacijos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aslaugoms įsigyti skirtos lėšos būtų naudojamos racionaliai,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 xml:space="preserve">aslaugų teikėjas visais atvejais turi derėtis su ūkio subjektu (renginio vietos savininku/valdytoju) dėl papildomų paslaugų, kurios turi būti įtrauktos į renginio vietos nuomos kainą (pvz., konferencijos įranga ir inventorius (ekranai, televizoriai, </w:t>
      </w:r>
      <w:proofErr w:type="spellStart"/>
      <w:r w:rsidRPr="000612E5">
        <w:rPr>
          <w:rFonts w:ascii="Times New Roman" w:eastAsia="Times New Roman" w:hAnsi="Times New Roman"/>
          <w:sz w:val="24"/>
          <w:szCs w:val="24"/>
          <w:lang w:eastAsia="lt-LT"/>
        </w:rPr>
        <w:t>multimedija</w:t>
      </w:r>
      <w:proofErr w:type="spellEnd"/>
      <w:r w:rsidRPr="000612E5">
        <w:rPr>
          <w:rFonts w:ascii="Times New Roman" w:eastAsia="Times New Roman" w:hAnsi="Times New Roman"/>
          <w:sz w:val="24"/>
          <w:szCs w:val="24"/>
          <w:lang w:eastAsia="lt-LT"/>
        </w:rPr>
        <w:t xml:space="preserve"> </w:t>
      </w:r>
      <w:r w:rsidRPr="000612E5">
        <w:rPr>
          <w:rFonts w:ascii="Times New Roman" w:eastAsia="Times New Roman" w:hAnsi="Times New Roman"/>
          <w:sz w:val="24"/>
          <w:szCs w:val="24"/>
          <w:lang w:eastAsia="lt-LT"/>
        </w:rPr>
        <w:lastRenderedPageBreak/>
        <w:t>projektoriai su pultais ir reikalinga kompiuterine įranga, įgarsinimo sistema, mikrofonai, rašymo lentos ar stendai su kokybiškomis rašymo priemonėmis; pranešėjo tribūna ir pan.) su aptarnavimu, svečių pasitikimo, valymo paslaugos ir pan.).</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5.6. Atsižvelgiant į konkretaus renginio pobūdį, jei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užsakyme nenurodyta kitaip, renginio vietoje privalo būti užtikrintas tinkamai veikiantis bevielis internetas, kurio parametrai atitinka renginio vietos dydį ir dalyvių skaičių.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5.7. Renginio vietoje turi būti užtikrintas kokybiškas įrenginių, įrangos, konstrukcijų, mechanizmų ir pan. darbas, vykdoma jų priežiūra ir aptarnavimas.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5.8. Esant poreikiui, renginio vieta turi būti pritaikyta neįgaliųjų asmenų poreikiams.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5.9. Renginio vietoje turi būti paskirtas asmuo (asmenys), į kurį (-</w:t>
      </w:r>
      <w:proofErr w:type="spellStart"/>
      <w:r w:rsidRPr="000612E5">
        <w:rPr>
          <w:rFonts w:ascii="Times New Roman" w:eastAsia="Times New Roman" w:hAnsi="Times New Roman"/>
          <w:sz w:val="24"/>
          <w:szCs w:val="24"/>
          <w:lang w:eastAsia="lt-LT"/>
        </w:rPr>
        <w:t>iuos</w:t>
      </w:r>
      <w:proofErr w:type="spellEnd"/>
      <w:r w:rsidRPr="000612E5">
        <w:rPr>
          <w:rFonts w:ascii="Times New Roman" w:eastAsia="Times New Roman" w:hAnsi="Times New Roman"/>
          <w:sz w:val="24"/>
          <w:szCs w:val="24"/>
          <w:lang w:eastAsia="lt-LT"/>
        </w:rPr>
        <w:t>) būtų galima tiesiogiai kreiptis renginio metu iškilus problemoms dėl naudojamų teritorijų, salių, patalpų ar pan. ir joms priklausančios įrenginių, įrangos, konstrukcijų, mechanizmų ir pan.</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5.10. Renginio vietoje (salėje, poilsio kambaryje ir pan.) turi veikti patalpų oro kondicionavimo ir vėdinimo sistema, pačios patalpos turi būti švarios, tvarkingos, tinkamai apšviestos, pagal poreikį – papildomai šildomos.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5.11. Renginio vietoje (salėje ir pan.) turi būti užtikrinami alternatyvūs dalyvių susodinimo būdai, geros sąlygos matyti bei girdėti pateikiamą informaciją, renginio vieta turi būti pritaikyta bei parinkta atsižvelgiant į renginio dalyvių skaičių.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5.12. Esant poreikiui, renginio vietoje (tame pačiame pastate) turi būti parengtos atskiros patalpos/darbo vietos dalyvių registravimui (su stalais ir kėdėmis šiam tikslui), kavos pertraukėlėms ir (ar) drabužinei.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5.13. Renginio vietoje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5.14. Esant poreikiui,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erkančioji organizacija gali paprašyti, kad būtų sudaryta galimybė renginio dalyviams nemokamai naudotis iki 10  stovėjimo vietų automobilių stovėjimo aikštelėje (jei tokia yra renginio vietoje).</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5.15. Renginio vieta turi būti paruošta likus ne mažiau kaip 1 (vienai) valandai iki renginio pradžios, jei Paslaugų užsakyme nenurodyta kitaip.</w:t>
      </w:r>
    </w:p>
    <w:p w:rsidR="000612E5" w:rsidRPr="00126A17" w:rsidRDefault="000612E5" w:rsidP="00343B5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612E5">
        <w:rPr>
          <w:rFonts w:ascii="Times New Roman" w:eastAsia="Times New Roman" w:hAnsi="Times New Roman"/>
          <w:sz w:val="24"/>
          <w:szCs w:val="24"/>
          <w:lang w:eastAsia="lt-LT"/>
        </w:rPr>
        <w:t xml:space="preserve">5.16. </w:t>
      </w:r>
      <w:r w:rsidRPr="00C811DF">
        <w:rPr>
          <w:rFonts w:ascii="Times New Roman" w:eastAsia="Times New Roman" w:hAnsi="Times New Roman"/>
          <w:sz w:val="24"/>
          <w:szCs w:val="24"/>
          <w:u w:val="single"/>
          <w:lang w:eastAsia="lt-LT"/>
        </w:rPr>
        <w:t>Renginio vietos parinkimo ir nuomos paslaugų kainodara</w:t>
      </w:r>
      <w:r w:rsidRPr="000612E5">
        <w:rPr>
          <w:rFonts w:ascii="Times New Roman" w:eastAsia="Times New Roman" w:hAnsi="Times New Roman"/>
          <w:sz w:val="24"/>
          <w:szCs w:val="24"/>
          <w:lang w:eastAsia="lt-LT"/>
        </w:rPr>
        <w:t>:</w:t>
      </w:r>
      <w:r w:rsidR="00343B59">
        <w:rPr>
          <w:rFonts w:ascii="Times New Roman" w:eastAsia="Times New Roman" w:hAnsi="Times New Roman"/>
          <w:sz w:val="24"/>
          <w:szCs w:val="24"/>
          <w:lang w:eastAsia="lt-LT"/>
        </w:rPr>
        <w:t xml:space="preserve"> </w:t>
      </w:r>
      <w:r w:rsidR="00343B59" w:rsidRPr="00126A17">
        <w:rPr>
          <w:rFonts w:ascii="Times New Roman" w:eastAsia="Times New Roman" w:hAnsi="Times New Roman"/>
          <w:color w:val="000000" w:themeColor="text1"/>
          <w:sz w:val="24"/>
          <w:szCs w:val="24"/>
          <w:lang w:eastAsia="lt-LT"/>
        </w:rPr>
        <w:t>r</w:t>
      </w:r>
      <w:r w:rsidRPr="00126A17">
        <w:rPr>
          <w:rFonts w:ascii="Times New Roman" w:eastAsia="Times New Roman" w:hAnsi="Times New Roman"/>
          <w:color w:val="000000" w:themeColor="text1"/>
          <w:sz w:val="24"/>
          <w:szCs w:val="24"/>
          <w:lang w:eastAsia="lt-LT"/>
        </w:rPr>
        <w:t>enginio vietos parinkimo ir nuomos paslaugoms taikomas kainos apskaičiavimo būdas – fiksuotas įkainis.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VI. RENGINIO VIETOS APIPAVIDALINIMO, DEKORAVIMO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6.1. Renginio vietos apipavidalinimo, dekoravimo paslaugas perkančioji organizacija užsako pagal poreikį. Tikslesnė informacija apie renginio vietos apipavidalinimo, dekoravimo paslaugas, joms keliamus apimties, išdėstymo, kokybinius, estetinius ir kitus reikalavimus bus pateikiama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užsakymo metu.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6.2. </w:t>
      </w:r>
      <w:r w:rsidR="00A77E16" w:rsidRPr="008303E2">
        <w:rPr>
          <w:rFonts w:ascii="Times New Roman" w:eastAsia="Times New Roman" w:hAnsi="Times New Roman"/>
          <w:sz w:val="24"/>
          <w:szCs w:val="24"/>
          <w:lang w:eastAsia="lt-LT"/>
        </w:rPr>
        <w:t xml:space="preserve">Renginio vietos apipavidalinimo, dekoravimo </w:t>
      </w:r>
      <w:r w:rsidR="00A77E16">
        <w:rPr>
          <w:rFonts w:ascii="Times New Roman" w:eastAsia="Times New Roman" w:hAnsi="Times New Roman"/>
          <w:sz w:val="24"/>
          <w:szCs w:val="24"/>
          <w:lang w:eastAsia="lt-LT"/>
        </w:rPr>
        <w:t>paslaugos</w:t>
      </w:r>
      <w:r w:rsidR="00A77E16" w:rsidRPr="008303E2">
        <w:rPr>
          <w:rFonts w:ascii="Times New Roman" w:eastAsia="Times New Roman" w:hAnsi="Times New Roman"/>
          <w:sz w:val="24"/>
          <w:szCs w:val="24"/>
          <w:lang w:eastAsia="lt-LT"/>
        </w:rPr>
        <w:t xml:space="preserve"> gali apimti vieną ar kelias iš šių </w:t>
      </w:r>
      <w:r w:rsidR="00A77E16">
        <w:rPr>
          <w:rFonts w:ascii="Times New Roman" w:eastAsia="Times New Roman" w:hAnsi="Times New Roman"/>
          <w:sz w:val="24"/>
          <w:szCs w:val="24"/>
          <w:lang w:eastAsia="lt-LT"/>
        </w:rPr>
        <w:t>paslaugų</w:t>
      </w:r>
      <w:r w:rsidR="00A77E16" w:rsidRPr="008303E2">
        <w:rPr>
          <w:rFonts w:ascii="Times New Roman" w:eastAsia="Times New Roman" w:hAnsi="Times New Roman"/>
          <w:sz w:val="24"/>
          <w:szCs w:val="24"/>
          <w:lang w:eastAsia="lt-LT"/>
        </w:rPr>
        <w:t>: dekoracijų (floristikos objektai, iškabos, reikalinga atributika bei simbolika,</w:t>
      </w:r>
      <w:r w:rsidR="00A77E16">
        <w:rPr>
          <w:rFonts w:ascii="Times New Roman" w:eastAsia="Times New Roman" w:hAnsi="Times New Roman"/>
          <w:sz w:val="24"/>
          <w:szCs w:val="24"/>
          <w:lang w:eastAsia="lt-LT"/>
        </w:rPr>
        <w:t xml:space="preserve"> </w:t>
      </w:r>
      <w:r w:rsidR="00A77E16" w:rsidRPr="008303E2">
        <w:rPr>
          <w:rFonts w:ascii="Times New Roman" w:eastAsia="Times New Roman" w:hAnsi="Times New Roman"/>
          <w:sz w:val="24"/>
          <w:szCs w:val="24"/>
          <w:lang w:eastAsia="lt-LT"/>
        </w:rPr>
        <w:t xml:space="preserve">užuolaidos, kilimai, specialus apšvietimas, specialūs efektai, meno kūriniai, </w:t>
      </w:r>
      <w:r w:rsidR="00A77E16">
        <w:rPr>
          <w:rFonts w:ascii="Times New Roman" w:eastAsia="Times New Roman" w:hAnsi="Times New Roman"/>
          <w:sz w:val="24"/>
          <w:szCs w:val="24"/>
          <w:lang w:eastAsia="lt-LT"/>
        </w:rPr>
        <w:t xml:space="preserve">pakylos, tribūnos, </w:t>
      </w:r>
      <w:r w:rsidR="00A77E16" w:rsidRPr="008303E2">
        <w:rPr>
          <w:rFonts w:ascii="Times New Roman" w:eastAsia="Times New Roman" w:hAnsi="Times New Roman"/>
          <w:sz w:val="24"/>
          <w:szCs w:val="24"/>
          <w:lang w:eastAsia="lt-LT"/>
        </w:rPr>
        <w:t>kiti apipavidalinimo ar dekoro elementai ir inventorius</w:t>
      </w:r>
      <w:r w:rsidR="00A77E16">
        <w:rPr>
          <w:rFonts w:ascii="Times New Roman" w:eastAsia="Times New Roman" w:hAnsi="Times New Roman"/>
          <w:sz w:val="24"/>
          <w:szCs w:val="24"/>
          <w:lang w:eastAsia="lt-LT"/>
        </w:rPr>
        <w:t xml:space="preserve"> (stalai, kėdės)</w:t>
      </w:r>
      <w:r w:rsidR="00A77E16" w:rsidRPr="008303E2">
        <w:rPr>
          <w:rFonts w:ascii="Times New Roman" w:eastAsia="Times New Roman" w:hAnsi="Times New Roman"/>
          <w:sz w:val="24"/>
          <w:szCs w:val="24"/>
          <w:lang w:eastAsia="lt-LT"/>
        </w:rPr>
        <w:t xml:space="preserve">) </w:t>
      </w:r>
      <w:r w:rsidR="00A77E16">
        <w:rPr>
          <w:rFonts w:ascii="Times New Roman" w:eastAsia="Times New Roman" w:hAnsi="Times New Roman"/>
          <w:sz w:val="24"/>
          <w:szCs w:val="24"/>
          <w:lang w:eastAsia="lt-LT"/>
        </w:rPr>
        <w:t>nuomą</w:t>
      </w:r>
      <w:r w:rsidR="00A77E16" w:rsidRPr="008303E2">
        <w:rPr>
          <w:rFonts w:ascii="Times New Roman" w:eastAsia="Times New Roman" w:hAnsi="Times New Roman"/>
          <w:sz w:val="24"/>
          <w:szCs w:val="24"/>
          <w:lang w:eastAsia="lt-LT"/>
        </w:rPr>
        <w:t>, pagaminimą, krovimą, transportavimą, sumontavimą, išmontavimą, utilizavimą ir kitas susijusias paslaugas</w:t>
      </w:r>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6.3. Dekoracijos turi būti estetiškos, atitikti renginio tematiką, floristikos objektai iš skintų gyvų gėlių, jei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užsakyme nenurodyta kitaip, pritaikyti renginio vietos dydžiui ir atitinkantys renginio pobūdį bei svarbą. Dekoracijos turi derėti tarpusavyje bei prie bendros renginio vietos aplinkos.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6.4. Dekoracijos ir jų išdėstymas privalo atitikti iš anksto su perkančiąja organizacija suderintą apipavidalinimo, dekoravimo koncepciją.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lastRenderedPageBreak/>
        <w:t xml:space="preserve">6.5. </w:t>
      </w:r>
      <w:r w:rsidR="00082237" w:rsidRPr="00B71295">
        <w:rPr>
          <w:rFonts w:ascii="Times New Roman" w:eastAsia="Times New Roman" w:hAnsi="Times New Roman"/>
          <w:sz w:val="24"/>
          <w:szCs w:val="24"/>
          <w:u w:val="single"/>
          <w:lang w:eastAsia="lt-LT"/>
        </w:rPr>
        <w:t xml:space="preserve">Renginio vietos apipavidalinimo, dekoravimo </w:t>
      </w:r>
      <w:r w:rsidR="00082237">
        <w:rPr>
          <w:rFonts w:ascii="Times New Roman" w:eastAsia="Times New Roman" w:hAnsi="Times New Roman"/>
          <w:sz w:val="24"/>
          <w:szCs w:val="24"/>
          <w:u w:val="single"/>
          <w:lang w:eastAsia="lt-LT"/>
        </w:rPr>
        <w:t>paslaugų</w:t>
      </w:r>
      <w:r w:rsidR="00082237" w:rsidRPr="00B71295">
        <w:rPr>
          <w:rFonts w:ascii="Times New Roman" w:eastAsia="Times New Roman" w:hAnsi="Times New Roman"/>
          <w:sz w:val="24"/>
          <w:szCs w:val="24"/>
          <w:u w:val="single"/>
          <w:lang w:eastAsia="lt-LT"/>
        </w:rPr>
        <w:t xml:space="preserve"> kainodara</w:t>
      </w:r>
      <w:r w:rsidR="00082237" w:rsidRPr="008303E2">
        <w:rPr>
          <w:rFonts w:ascii="Times New Roman" w:eastAsia="Times New Roman" w:hAnsi="Times New Roman"/>
          <w:sz w:val="24"/>
          <w:szCs w:val="24"/>
          <w:lang w:eastAsia="lt-LT"/>
        </w:rPr>
        <w:t>: renginio vietos apipavidalinimo, dekoravimo paslaugoms taikomas kainos apskaičiavimo būdas – sutartie</w:t>
      </w:r>
      <w:r w:rsidR="00082237">
        <w:rPr>
          <w:rFonts w:ascii="Times New Roman" w:eastAsia="Times New Roman" w:hAnsi="Times New Roman"/>
          <w:sz w:val="24"/>
          <w:szCs w:val="24"/>
          <w:lang w:eastAsia="lt-LT"/>
        </w:rPr>
        <w:t>s vykdymo išlaidų atlyginimas</w:t>
      </w:r>
      <w:r w:rsidRPr="000612E5">
        <w:rPr>
          <w:rFonts w:ascii="Times New Roman" w:eastAsia="Times New Roman" w:hAnsi="Times New Roman"/>
          <w:sz w:val="24"/>
          <w:szCs w:val="24"/>
          <w:lang w:eastAsia="lt-LT"/>
        </w:rPr>
        <w:t>.</w:t>
      </w:r>
    </w:p>
    <w:p w:rsid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VII. RENGINIO ĮRANGOS NUOMA IR APTARNAVIMO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 Pagal perkančiosios organizacijos poreikį numatoma įsigyti šios renginio įrangos nuomą ir aptarnavimo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7.1.1. diskusinės įrangos;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7.1.2. mikrofonų;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7.1.3. sinchroninio vertimo įrangos;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7.1.4. nešiojamų kompiuterių;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7.1.5. </w:t>
      </w:r>
      <w:proofErr w:type="spellStart"/>
      <w:r w:rsidRPr="000612E5">
        <w:rPr>
          <w:rFonts w:ascii="Times New Roman" w:eastAsia="Times New Roman" w:hAnsi="Times New Roman"/>
          <w:sz w:val="24"/>
          <w:szCs w:val="24"/>
          <w:lang w:eastAsia="lt-LT"/>
        </w:rPr>
        <w:t>multimedija</w:t>
      </w:r>
      <w:proofErr w:type="spellEnd"/>
      <w:r w:rsidRPr="000612E5">
        <w:rPr>
          <w:rFonts w:ascii="Times New Roman" w:eastAsia="Times New Roman" w:hAnsi="Times New Roman"/>
          <w:sz w:val="24"/>
          <w:szCs w:val="24"/>
          <w:lang w:eastAsia="lt-LT"/>
        </w:rPr>
        <w:t xml:space="preserve"> projektorių;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7.1.6. LED ekranų;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7.1.7. įgarsinimo aparatūros komplektų;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7.1.8. apšvietimo technikos komplektų;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7.1.9. vaizdo ir garso įrašymo įrangos.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7.2. Bendrieji reikalavimai renginio įrangai: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7.2.1. Renginio įrangą perkančioji organizacija užsako pagal poreikį. Tikslesnė informacija apie reikalingą renginio įrangą, jai keliamus kiekio, montavimo (įrengimo) vietos, terminų ir kitus reikalavimus bus pateikiama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užsakymo metu.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7.2.2. Renginio įrangos nuoma ir aptarnavimo paslaugos apima renginio įrangos krovimą, transportavimą pirmoje geografinėje zonoje, sumontavimą / išmontavimą, įdiegimą, priežiūrą, aptarnavimą ir kitas susijusias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7.2.3. Renginio įranga turi būti pristatyta į nurodytą renginio vietą, sumontuota (įrengta), išbandyta, o renginiui pasibaigus, išmontuota ir išvežta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užsakyme nustatytais terminais.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7.2.4. Renginio įranga turi būti nepriekaištingos būklės ir ypač kruopščiai sumontuota (įrengta), įdiegta.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7.2.5. Viso renginio metu renginio vietoje turi būti kvalifikuotas renginio įrangos technikas jos aptarnavimui.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 Specialieji reikalavimai diskusinei įrangai (paprastai valdymo blokas (pagrindinis sisteminis procesorius) ir diskusinio mikrofono moduliai), jos nuomai ir aptarnavimo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7.3.1. Diskusinio mikrofono moduliai turi būti atsparūs mobiliųjų telefonų keliamiems trukdžiams;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7.3.2. Diskusinio mikrofono moduliai skirti kalbėti, registruotis į eilę kalbėti, klausytis;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7.3.3. Diskusinio mikrofono modulių garsiakalbis turi automatiškai atsijungti įjungus mikrofoną;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7.3.4. Diskusinio mikrofono modulių akumuliatorių darbo laikas ne mažiau kaip 8 (aštuonios) valandos (pilnai pakrovus)</w:t>
      </w:r>
      <w:r w:rsidR="00E022FA">
        <w:rPr>
          <w:rFonts w:ascii="Times New Roman" w:eastAsia="Times New Roman" w:hAnsi="Times New Roman"/>
          <w:sz w:val="24"/>
          <w:szCs w:val="24"/>
          <w:lang w:eastAsia="lt-LT"/>
        </w:rPr>
        <w:t xml:space="preserve"> ir gali </w:t>
      </w:r>
      <w:r w:rsidR="009530CB">
        <w:rPr>
          <w:rFonts w:ascii="Times New Roman" w:eastAsia="Times New Roman" w:hAnsi="Times New Roman"/>
          <w:sz w:val="24"/>
          <w:szCs w:val="24"/>
          <w:lang w:eastAsia="lt-LT"/>
        </w:rPr>
        <w:t>būti laidiniai diskusiniai mikro</w:t>
      </w:r>
      <w:r w:rsidR="00E022FA">
        <w:rPr>
          <w:rFonts w:ascii="Times New Roman" w:eastAsia="Times New Roman" w:hAnsi="Times New Roman"/>
          <w:sz w:val="24"/>
          <w:szCs w:val="24"/>
          <w:lang w:eastAsia="lt-LT"/>
        </w:rPr>
        <w:t>fonai</w:t>
      </w:r>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7.3.5. Diskusinė įranga turi turėti pirmininkaujančiojo diskusinio mikrofono modulį su prioriteto klavišu (galimybe išjungti visų dalyvių mikrofonus);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7.3.6. Diskusinė įranga turi būti pritaikyta diskusijos dalyvių skaičiui (maksimalus diskusijos dalyvių skaičius – 30 (trisdešimt),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teikėjui sutikus, perkančioji organizacija gali užsakyti diskusinę įrangą ir didesniam dalyvių skaičiui), perkančiosios organizacijos sutikimu vienas diskusinio mikrofono modulis gali būti skirtas naudoti dviem diskusijos dalyviams;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7.3.7. Diskusinė įranga turi turėti kokybiško pokalbio įrašo funkciją;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7.3.8. Diskusinę įrangą turi būti galima išplėsti prijungiant telefono tinklą (kitur esantis žmogus gali dalyvauti pasitarime telefonu);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7.3.9. Jei renginio metu atliekamas sinchroninis vertimas, diskusinė įranga privalo būti suderinta su sinchroninio vertimo sistema;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7.3.10. Diskusinę įrangą turi būti galima papildyti balsavimo galimybe.</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lastRenderedPageBreak/>
        <w:t>7.4. Specialieji reikalavimai mikrofonams, (paprastai bevieliai mikrofonai lankeliai / prisegami / rankiniai su radijo sistema ir priedais (pvz., mikrofono laikikliai/stovai)) jų nuomai ir aptarnavimo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7.4.1. Mikrofonai turi būti atsparūs mobiliųjų telefonų keliamiems trukdžiams;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7.4.2. Jei renginio metu atliekamas sinchroninis vertimas, mikrofonai privalo būti suderinti su sinchroninio vertimo sistema;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7.4.3. Mikrofonai turi turėti įjungimo / išjungimo ir MUTE jungtukus.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 Specialieji reikalavimai sinchroninio vertimo įrangai (paprastai vertėjų kabina (-</w:t>
      </w:r>
      <w:proofErr w:type="spellStart"/>
      <w:r w:rsidRPr="000612E5">
        <w:rPr>
          <w:rFonts w:ascii="Times New Roman" w:eastAsia="Times New Roman" w:hAnsi="Times New Roman"/>
          <w:sz w:val="24"/>
          <w:szCs w:val="24"/>
          <w:lang w:eastAsia="lt-LT"/>
        </w:rPr>
        <w:t>os</w:t>
      </w:r>
      <w:proofErr w:type="spellEnd"/>
      <w:r w:rsidRPr="000612E5">
        <w:rPr>
          <w:rFonts w:ascii="Times New Roman" w:eastAsia="Times New Roman" w:hAnsi="Times New Roman"/>
          <w:sz w:val="24"/>
          <w:szCs w:val="24"/>
          <w:lang w:eastAsia="lt-LT"/>
        </w:rPr>
        <w:t>), sinchroninio vertimo (transliavimo) sistema, ausinės), jos nuomai ir aptarnavimo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7.5.1. Mobili dvivietė vertėjų kabina turi atitikti šiuos minimalius reikalavimus: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7.5.1.1. Kabinos vidaus matmenys: plotis – nuo 1,6 m iki 2,5 m, gylis – nuo 1,6 m iki 2,0 m, aukštis – nuo 2,0 m iki 2,2 m;</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7.5.1.2. Kabinos priekyje ir šonuose turi būti langai, langų stiklas turi būti netamsintas ir švarus;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7.5.1.3. Kabinoje turi būti į išorę atsidarančios (tyliai varstomos) nerakinamos durys su lankstais;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7.5.1.4. Kabinoje turi būti integruota veiksminga ventiliacijos sistema (ši sistema turi veikti kuo tyliau) ir apšvietimas;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7.5.1.5. Kabinoje turi būti tvirtas stalviršis;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7.5.1.6. Kiekvienam vertėjui kabinoje turi būti skirta atskira reguliuojama kompaktinė stalinė lempa, patogi reguliuojamo aukščio kėdė su penkiomis kojomis ant ratukų, popieriaus, rašymo priemonių (ne pieštukų), vandens ir stiklinių.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 Sinchroninio vertimo (transliavimo) sistema turi atitikti šiuos minimalius funkcinius reikalavimus: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7.5.2.1. Turi būti galima vienu metu versti ne mažiau kaip į 5 (penkias) kalbas;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7.5.2.2. Turi būti pritaikyta renginio dalyvių skaičiui;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7.5.2.3. Turi būti galimybė techninės įrangos konfigūraciją derinti pagal renginio poreikius;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7.5.2.4. Turi būti užtikrinta aukšta garso perdavimo kokybė, vertimas perduodamas labai aiškiai, be jokio pašalinio triukšmo;</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7.5.2.5. Sinchroninio vertimo (transliavimo) sistemos perduodamo signalo kokybei neturi turėti įtakos patalpos apšvietimas;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7.5.2.6. Kiekvienam klausytojui turi būti galima pasirinkti norimą klausymosi kanalą, reguliuoti vertimo garso lygį;</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7.5.2.7. Sistema turi būti lengvai valdoma, ją turi būti galima sujungti su kitomis sistemos (garso įrašymo, diskusine įranga, televizijos ir radijo transliavimo priemonėmis ir pan.).</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7.5.2.8. Kiekvienas vertėjas turi būti aprūpintas atskiru vertimo pultu su mikrofonu ir profesionaliomis ausinėmis.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 Specialieji reikalavimai nešiojamiems kompiuteriams, jų nuomai ir aptarnavimo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7.6.1. Nešiojamų kompiuterių charakteristikos: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7.6.1.1. ekrano dydis: ne mažesnis kaip 13 (trylika) colių;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7.6.1.2. operatyvioji (RAM) atmintis: nemažiau kaip 6 (šeši) GB;</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7.6.1.3. vidinė saugykla: SSD diskas, ne mažiau kaip 64 (šešiasdešimt keturi) GB laisvos disko vietos;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7.6.1.4. bevielio ryšio technologijos: ne mažiau kaip integruotas bevielio tinklo 802.11 a/b/g/n/</w:t>
      </w:r>
      <w:proofErr w:type="spellStart"/>
      <w:r w:rsidRPr="000612E5">
        <w:rPr>
          <w:rFonts w:ascii="Times New Roman" w:eastAsia="Times New Roman" w:hAnsi="Times New Roman"/>
          <w:sz w:val="24"/>
          <w:szCs w:val="24"/>
          <w:lang w:eastAsia="lt-LT"/>
        </w:rPr>
        <w:t>ac</w:t>
      </w:r>
      <w:proofErr w:type="spellEnd"/>
      <w:r w:rsidRPr="000612E5">
        <w:rPr>
          <w:rFonts w:ascii="Times New Roman" w:eastAsia="Times New Roman" w:hAnsi="Times New Roman"/>
          <w:sz w:val="24"/>
          <w:szCs w:val="24"/>
          <w:lang w:eastAsia="lt-LT"/>
        </w:rPr>
        <w:t xml:space="preserve"> (2.4 </w:t>
      </w:r>
      <w:proofErr w:type="spellStart"/>
      <w:r w:rsidRPr="000612E5">
        <w:rPr>
          <w:rFonts w:ascii="Times New Roman" w:eastAsia="Times New Roman" w:hAnsi="Times New Roman"/>
          <w:sz w:val="24"/>
          <w:szCs w:val="24"/>
          <w:lang w:eastAsia="lt-LT"/>
        </w:rPr>
        <w:t>GHz</w:t>
      </w:r>
      <w:proofErr w:type="spellEnd"/>
      <w:r w:rsidRPr="000612E5">
        <w:rPr>
          <w:rFonts w:ascii="Times New Roman" w:eastAsia="Times New Roman" w:hAnsi="Times New Roman"/>
          <w:sz w:val="24"/>
          <w:szCs w:val="24"/>
          <w:lang w:eastAsia="lt-LT"/>
        </w:rPr>
        <w:t xml:space="preserve"> ir 5 </w:t>
      </w:r>
      <w:proofErr w:type="spellStart"/>
      <w:r w:rsidRPr="000612E5">
        <w:rPr>
          <w:rFonts w:ascii="Times New Roman" w:eastAsia="Times New Roman" w:hAnsi="Times New Roman"/>
          <w:sz w:val="24"/>
          <w:szCs w:val="24"/>
          <w:lang w:eastAsia="lt-LT"/>
        </w:rPr>
        <w:t>GHz</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WiFi</w:t>
      </w:r>
      <w:proofErr w:type="spellEnd"/>
      <w:r w:rsidRPr="000612E5">
        <w:rPr>
          <w:rFonts w:ascii="Times New Roman" w:eastAsia="Times New Roman" w:hAnsi="Times New Roman"/>
          <w:sz w:val="24"/>
          <w:szCs w:val="24"/>
          <w:lang w:eastAsia="lt-LT"/>
        </w:rPr>
        <w:t xml:space="preserve"> adapteris ir integruotas </w:t>
      </w:r>
      <w:proofErr w:type="spellStart"/>
      <w:r w:rsidRPr="000612E5">
        <w:rPr>
          <w:rFonts w:ascii="Times New Roman" w:eastAsia="Times New Roman" w:hAnsi="Times New Roman"/>
          <w:sz w:val="24"/>
          <w:szCs w:val="24"/>
          <w:lang w:eastAsia="lt-LT"/>
        </w:rPr>
        <w:t>Bluetooth</w:t>
      </w:r>
      <w:proofErr w:type="spellEnd"/>
      <w:r w:rsidRPr="000612E5">
        <w:rPr>
          <w:rFonts w:ascii="Times New Roman" w:eastAsia="Times New Roman" w:hAnsi="Times New Roman"/>
          <w:sz w:val="24"/>
          <w:szCs w:val="24"/>
          <w:lang w:eastAsia="lt-LT"/>
        </w:rPr>
        <w:t xml:space="preserve"> 4.2 adapteris;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7.6.1.5. interneto duomenų perdavimo laidu sparta: ne prasčiau kaip 10/100/1000 </w:t>
      </w:r>
      <w:proofErr w:type="spellStart"/>
      <w:r w:rsidRPr="000612E5">
        <w:rPr>
          <w:rFonts w:ascii="Times New Roman" w:eastAsia="Times New Roman" w:hAnsi="Times New Roman"/>
          <w:sz w:val="24"/>
          <w:szCs w:val="24"/>
          <w:lang w:eastAsia="lt-LT"/>
        </w:rPr>
        <w:t>Mbps</w:t>
      </w:r>
      <w:proofErr w:type="spellEnd"/>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7.6.1.6. prievadai: nemažiau kaip 1 vnt. – USB 3.1 </w:t>
      </w:r>
      <w:proofErr w:type="spellStart"/>
      <w:r w:rsidRPr="000612E5">
        <w:rPr>
          <w:rFonts w:ascii="Times New Roman" w:eastAsia="Times New Roman" w:hAnsi="Times New Roman"/>
          <w:sz w:val="24"/>
          <w:szCs w:val="24"/>
          <w:lang w:eastAsia="lt-LT"/>
        </w:rPr>
        <w:t>Type-C,</w:t>
      </w:r>
      <w:proofErr w:type="spellEnd"/>
      <w:r w:rsidRPr="000612E5">
        <w:rPr>
          <w:rFonts w:ascii="Times New Roman" w:eastAsia="Times New Roman" w:hAnsi="Times New Roman"/>
          <w:sz w:val="24"/>
          <w:szCs w:val="24"/>
          <w:lang w:eastAsia="lt-LT"/>
        </w:rPr>
        <w:t xml:space="preserve"> nemažiau kaip 3 vnt. – USB 3.1 </w:t>
      </w:r>
      <w:proofErr w:type="spellStart"/>
      <w:r w:rsidRPr="000612E5">
        <w:rPr>
          <w:rFonts w:ascii="Times New Roman" w:eastAsia="Times New Roman" w:hAnsi="Times New Roman"/>
          <w:sz w:val="24"/>
          <w:szCs w:val="24"/>
          <w:lang w:eastAsia="lt-LT"/>
        </w:rPr>
        <w:t>Gen</w:t>
      </w:r>
      <w:proofErr w:type="spellEnd"/>
      <w:r w:rsidRPr="000612E5">
        <w:rPr>
          <w:rFonts w:ascii="Times New Roman" w:eastAsia="Times New Roman" w:hAnsi="Times New Roman"/>
          <w:sz w:val="24"/>
          <w:szCs w:val="24"/>
          <w:lang w:eastAsia="lt-LT"/>
        </w:rPr>
        <w:t xml:space="preserve"> 1;</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7.6.1.7. vaizdo kamera: integruota;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lastRenderedPageBreak/>
        <w:t>7.6.1.8. baterijos veikimo trukmė: darbo laikas su visiškai pakrauta baterija ne trumpiau kaip 8 valandos naršant internete per bevielę prieigą, budėjimo laikas su visiškai pakrauta baterija ne trumpiau kaip 10 dienų;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7.6.1.9. svoris: ne daugiau kaip 2 kg.</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7.6.2. Nešiojami kompiuteriai turi būti aprūpinti licencijuota programine įranga: operacine sistema, Microsoft Office ar lygiaverčiu biuro programų paketu (leidžiančiu skaityti ir redaguoti, įskaitant, bet neapsiribojant, šių formatų bylas: .</w:t>
      </w:r>
      <w:proofErr w:type="spellStart"/>
      <w:r w:rsidRPr="000612E5">
        <w:rPr>
          <w:rFonts w:ascii="Times New Roman" w:eastAsia="Times New Roman" w:hAnsi="Times New Roman"/>
          <w:sz w:val="24"/>
          <w:szCs w:val="24"/>
          <w:lang w:eastAsia="lt-LT"/>
        </w:rPr>
        <w:t>txt</w:t>
      </w:r>
      <w:proofErr w:type="spellEnd"/>
      <w:r w:rsidRPr="000612E5">
        <w:rPr>
          <w:rFonts w:ascii="Times New Roman" w:eastAsia="Times New Roman" w:hAnsi="Times New Roman"/>
          <w:sz w:val="24"/>
          <w:szCs w:val="24"/>
          <w:lang w:eastAsia="lt-LT"/>
        </w:rPr>
        <w:t>, .</w:t>
      </w:r>
      <w:proofErr w:type="spellStart"/>
      <w:r w:rsidRPr="000612E5">
        <w:rPr>
          <w:rFonts w:ascii="Times New Roman" w:eastAsia="Times New Roman" w:hAnsi="Times New Roman"/>
          <w:sz w:val="24"/>
          <w:szCs w:val="24"/>
          <w:lang w:eastAsia="lt-LT"/>
        </w:rPr>
        <w:t>rtf</w:t>
      </w:r>
      <w:proofErr w:type="spellEnd"/>
      <w:r w:rsidRPr="000612E5">
        <w:rPr>
          <w:rFonts w:ascii="Times New Roman" w:eastAsia="Times New Roman" w:hAnsi="Times New Roman"/>
          <w:sz w:val="24"/>
          <w:szCs w:val="24"/>
          <w:lang w:eastAsia="lt-LT"/>
        </w:rPr>
        <w:t>, .</w:t>
      </w:r>
      <w:proofErr w:type="spellStart"/>
      <w:r w:rsidRPr="000612E5">
        <w:rPr>
          <w:rFonts w:ascii="Times New Roman" w:eastAsia="Times New Roman" w:hAnsi="Times New Roman"/>
          <w:sz w:val="24"/>
          <w:szCs w:val="24"/>
          <w:lang w:eastAsia="lt-LT"/>
        </w:rPr>
        <w:t>doc</w:t>
      </w:r>
      <w:proofErr w:type="spellEnd"/>
      <w:r w:rsidRPr="000612E5">
        <w:rPr>
          <w:rFonts w:ascii="Times New Roman" w:eastAsia="Times New Roman" w:hAnsi="Times New Roman"/>
          <w:sz w:val="24"/>
          <w:szCs w:val="24"/>
          <w:lang w:eastAsia="lt-LT"/>
        </w:rPr>
        <w:t>, .</w:t>
      </w:r>
      <w:proofErr w:type="spellStart"/>
      <w:r w:rsidRPr="000612E5">
        <w:rPr>
          <w:rFonts w:ascii="Times New Roman" w:eastAsia="Times New Roman" w:hAnsi="Times New Roman"/>
          <w:sz w:val="24"/>
          <w:szCs w:val="24"/>
          <w:lang w:eastAsia="lt-LT"/>
        </w:rPr>
        <w:t>docx</w:t>
      </w:r>
      <w:proofErr w:type="spellEnd"/>
      <w:r w:rsidRPr="000612E5">
        <w:rPr>
          <w:rFonts w:ascii="Times New Roman" w:eastAsia="Times New Roman" w:hAnsi="Times New Roman"/>
          <w:sz w:val="24"/>
          <w:szCs w:val="24"/>
          <w:lang w:eastAsia="lt-LT"/>
        </w:rPr>
        <w:t>, .</w:t>
      </w:r>
      <w:proofErr w:type="spellStart"/>
      <w:r w:rsidRPr="000612E5">
        <w:rPr>
          <w:rFonts w:ascii="Times New Roman" w:eastAsia="Times New Roman" w:hAnsi="Times New Roman"/>
          <w:sz w:val="24"/>
          <w:szCs w:val="24"/>
          <w:lang w:eastAsia="lt-LT"/>
        </w:rPr>
        <w:t>ppt</w:t>
      </w:r>
      <w:proofErr w:type="spellEnd"/>
      <w:r w:rsidRPr="000612E5">
        <w:rPr>
          <w:rFonts w:ascii="Times New Roman" w:eastAsia="Times New Roman" w:hAnsi="Times New Roman"/>
          <w:sz w:val="24"/>
          <w:szCs w:val="24"/>
          <w:lang w:eastAsia="lt-LT"/>
        </w:rPr>
        <w:t>, .</w:t>
      </w:r>
      <w:proofErr w:type="spellStart"/>
      <w:r w:rsidRPr="000612E5">
        <w:rPr>
          <w:rFonts w:ascii="Times New Roman" w:eastAsia="Times New Roman" w:hAnsi="Times New Roman"/>
          <w:sz w:val="24"/>
          <w:szCs w:val="24"/>
          <w:lang w:eastAsia="lt-LT"/>
        </w:rPr>
        <w:t>pptx</w:t>
      </w:r>
      <w:proofErr w:type="spellEnd"/>
      <w:r w:rsidRPr="000612E5">
        <w:rPr>
          <w:rFonts w:ascii="Times New Roman" w:eastAsia="Times New Roman" w:hAnsi="Times New Roman"/>
          <w:sz w:val="24"/>
          <w:szCs w:val="24"/>
          <w:lang w:eastAsia="lt-LT"/>
        </w:rPr>
        <w:t>, .</w:t>
      </w:r>
      <w:proofErr w:type="spellStart"/>
      <w:r w:rsidRPr="000612E5">
        <w:rPr>
          <w:rFonts w:ascii="Times New Roman" w:eastAsia="Times New Roman" w:hAnsi="Times New Roman"/>
          <w:sz w:val="24"/>
          <w:szCs w:val="24"/>
          <w:lang w:eastAsia="lt-LT"/>
        </w:rPr>
        <w:t>xls</w:t>
      </w:r>
      <w:proofErr w:type="spellEnd"/>
      <w:r w:rsidRPr="000612E5">
        <w:rPr>
          <w:rFonts w:ascii="Times New Roman" w:eastAsia="Times New Roman" w:hAnsi="Times New Roman"/>
          <w:sz w:val="24"/>
          <w:szCs w:val="24"/>
          <w:lang w:eastAsia="lt-LT"/>
        </w:rPr>
        <w:t>, .</w:t>
      </w:r>
      <w:proofErr w:type="spellStart"/>
      <w:r w:rsidRPr="000612E5">
        <w:rPr>
          <w:rFonts w:ascii="Times New Roman" w:eastAsia="Times New Roman" w:hAnsi="Times New Roman"/>
          <w:sz w:val="24"/>
          <w:szCs w:val="24"/>
          <w:lang w:eastAsia="lt-LT"/>
        </w:rPr>
        <w:t>xlsx</w:t>
      </w:r>
      <w:proofErr w:type="spellEnd"/>
      <w:r w:rsidRPr="000612E5">
        <w:rPr>
          <w:rFonts w:ascii="Times New Roman" w:eastAsia="Times New Roman" w:hAnsi="Times New Roman"/>
          <w:sz w:val="24"/>
          <w:szCs w:val="24"/>
          <w:lang w:eastAsia="lt-LT"/>
        </w:rPr>
        <w:t>), antivirusine programine įranga, tvarkyklėmis ir kita tinkamam ir patikimam nešiojamo kompiuterio funkcionavimui būtina programine įranga.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7.6.3. Jei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užsakyme nenurodyta kitaip, nešiojami kompiuteriai turi būti nuomojami kartu su būtinais priedais (maitinimo ir sujungimo kabeliu ir pan.), beviele pele ir nešiojamo kompiuterio krepšiu.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7.7. Specialieji reikalavimai </w:t>
      </w:r>
      <w:proofErr w:type="spellStart"/>
      <w:r w:rsidRPr="000612E5">
        <w:rPr>
          <w:rFonts w:ascii="Times New Roman" w:eastAsia="Times New Roman" w:hAnsi="Times New Roman"/>
          <w:sz w:val="24"/>
          <w:szCs w:val="24"/>
          <w:lang w:eastAsia="lt-LT"/>
        </w:rPr>
        <w:t>multimedija</w:t>
      </w:r>
      <w:proofErr w:type="spellEnd"/>
      <w:r w:rsidRPr="000612E5">
        <w:rPr>
          <w:rFonts w:ascii="Times New Roman" w:eastAsia="Times New Roman" w:hAnsi="Times New Roman"/>
          <w:sz w:val="24"/>
          <w:szCs w:val="24"/>
          <w:lang w:eastAsia="lt-LT"/>
        </w:rPr>
        <w:t xml:space="preserve"> projektoriams (toliau – projektoriai), jų nuomai ir aptarnavimo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7.7.1. Projektorių charakteristikos: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7.7.1.1. skiriamoji geba: turi būti neblogesnė kaip 1280×800;</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7.7.1.2. šviesos srautas: ne mažiau kaip 5000 </w:t>
      </w:r>
      <w:proofErr w:type="spellStart"/>
      <w:r w:rsidRPr="000612E5">
        <w:rPr>
          <w:rFonts w:ascii="Times New Roman" w:eastAsia="Times New Roman" w:hAnsi="Times New Roman"/>
          <w:sz w:val="24"/>
          <w:szCs w:val="24"/>
          <w:lang w:eastAsia="lt-LT"/>
        </w:rPr>
        <w:t>liumenų</w:t>
      </w:r>
      <w:proofErr w:type="spellEnd"/>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7.7.1.3. kontrastas: ne mažiau kaip 5000:1;</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7.7.1.4. video įvestys: RGB (D-</w:t>
      </w:r>
      <w:proofErr w:type="spellStart"/>
      <w:r w:rsidRPr="000612E5">
        <w:rPr>
          <w:rFonts w:ascii="Times New Roman" w:eastAsia="Times New Roman" w:hAnsi="Times New Roman"/>
          <w:sz w:val="24"/>
          <w:szCs w:val="24"/>
          <w:lang w:eastAsia="lt-LT"/>
        </w:rPr>
        <w:t>Sub</w:t>
      </w:r>
      <w:proofErr w:type="spellEnd"/>
      <w:r w:rsidRPr="000612E5">
        <w:rPr>
          <w:rFonts w:ascii="Times New Roman" w:eastAsia="Times New Roman" w:hAnsi="Times New Roman"/>
          <w:sz w:val="24"/>
          <w:szCs w:val="24"/>
          <w:lang w:eastAsia="lt-LT"/>
        </w:rPr>
        <w:t xml:space="preserve"> 15), 2 x HDMI, RJ-45 (</w:t>
      </w:r>
      <w:proofErr w:type="spellStart"/>
      <w:r w:rsidRPr="000612E5">
        <w:rPr>
          <w:rFonts w:ascii="Times New Roman" w:eastAsia="Times New Roman" w:hAnsi="Times New Roman"/>
          <w:sz w:val="24"/>
          <w:szCs w:val="24"/>
          <w:lang w:eastAsia="lt-LT"/>
        </w:rPr>
        <w:t>HDBaseT</w:t>
      </w:r>
      <w:proofErr w:type="spellEnd"/>
      <w:r w:rsidRPr="000612E5">
        <w:rPr>
          <w:rFonts w:ascii="Times New Roman" w:eastAsia="Times New Roman" w:hAnsi="Times New Roman"/>
          <w:sz w:val="24"/>
          <w:szCs w:val="24"/>
          <w:lang w:eastAsia="lt-LT"/>
        </w:rPr>
        <w:t xml:space="preserve"> suderinama);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7.7.1.5. kompiuterinė sąsaja: RS-232, USB;</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7.7.1.6. plataus kampo objektyvas: ne mažiau 2,5 metro įstrižainės vaizdo projekcija, esant projektoriui 0,5 metro atstumu nuo ekrano;</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7.7.1.7. priedai: projektoriaus nuotolinio valdymo pultas ir lazerinė rodyklė.</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7.7.2. Jei </w:t>
      </w:r>
      <w:r w:rsidR="00DC2D24">
        <w:rPr>
          <w:rFonts w:ascii="Times New Roman" w:eastAsia="Times New Roman" w:hAnsi="Times New Roman"/>
          <w:sz w:val="24"/>
          <w:szCs w:val="24"/>
          <w:lang w:eastAsia="lt-LT"/>
        </w:rPr>
        <w:t>p</w:t>
      </w:r>
      <w:r w:rsidRPr="000612E5">
        <w:rPr>
          <w:rFonts w:ascii="Times New Roman" w:eastAsia="Times New Roman" w:hAnsi="Times New Roman"/>
          <w:sz w:val="24"/>
          <w:szCs w:val="24"/>
          <w:lang w:eastAsia="lt-LT"/>
        </w:rPr>
        <w:t>aslaugų užsakyme nenurodyta kitaip, projektoriai turi būti nuomojami kartu su būtinais priedais (maitinimo ir sujungimo kabeliais, demonstravimui skirtu ekranu ir pan.) ir projektoriaus krepšiu.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 Specialieji reikalavimai LED ekranams, jų nuomai ir aptarnavimo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7.8.1. LED ekranų tipai: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7.8.1.1. Matmenys 1,5 (± 0,5) m × 3 (± 0,5) m arba iki 11 m2;</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7.8.1.2. Matmenys 3 (± 0,5) m × 5 (± 0,5) m arba nuo 11 m2 iki 22 m2;</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7.8.1.3. Matmenys 4 (± 0,5) m ×7 (± 0,5) m arba nuo 22 m2.</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7.8.2. LED ekranų charakteristikos: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7.8.2.1. LED ekranai turi būti spalvoti, turėti kontrasto reguliavimo galimybes;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7.8.2.2. ryškumas: turi būti ne mažesnis kaip 8000 </w:t>
      </w:r>
      <w:proofErr w:type="spellStart"/>
      <w:r w:rsidRPr="000612E5">
        <w:rPr>
          <w:rFonts w:ascii="Times New Roman" w:eastAsia="Times New Roman" w:hAnsi="Times New Roman"/>
          <w:sz w:val="24"/>
          <w:szCs w:val="24"/>
          <w:lang w:eastAsia="lt-LT"/>
        </w:rPr>
        <w:t>Nits</w:t>
      </w:r>
      <w:proofErr w:type="spellEnd"/>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7.8.2.3. atstumas tarp diodų: turi būti ne didesnis kaip P10;</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7.8.2.4. matymo kampas: ne blogesnis kaip 140/140 laipsnių;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7.8.2.5. LED ekranuose turi būti galima transliuoti vaizdą iš kompiuterio, DVD, vaizdo kameros ir kt., naudojamus skirtingus vaizdo šaltinius turi būti galima keisti tarpusavyje.</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7.8.3. LED ekranai turi turėti modulinę struktūrą, leidžiančią suformuoti įvairios formos (stačiakampio, kolonos, arkos, juostos ir pan.) ekranus.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7.8.4. LED ekranų modulių konstrukcija turi leisti naudoti juos bet kokiomis oro sąlygomis.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7.8.5. LED ekranai turi būti teikiami su saugia ekrano laikančiąja konstrukcija, montavimo detalėmis, įdiegimui reikalinga įranga (video pultas, kompiuterinė ir programinė įranga, maitinimo, sujungimo ir kiti kabeliai, transformatoriai ir kt.).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7.9. Specialieji reikalavimai įgarsinimo aparatūros komplektams, jų nuomai ir aptarnavimo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7.9.1. Įgarsinimo aparatūros komplektų tipai:</w:t>
      </w:r>
    </w:p>
    <w:tbl>
      <w:tblPr>
        <w:tblStyle w:val="Lentelstinklelis"/>
        <w:tblW w:w="0" w:type="auto"/>
        <w:tblLook w:val="04A0" w:firstRow="1" w:lastRow="0" w:firstColumn="1" w:lastColumn="0" w:noHBand="0" w:noVBand="1"/>
      </w:tblPr>
      <w:tblGrid>
        <w:gridCol w:w="1668"/>
        <w:gridCol w:w="2126"/>
        <w:gridCol w:w="5953"/>
      </w:tblGrid>
      <w:tr w:rsidR="00CE7812" w:rsidTr="00B650F3">
        <w:tc>
          <w:tcPr>
            <w:tcW w:w="1668" w:type="dxa"/>
            <w:tcBorders>
              <w:top w:val="nil"/>
              <w:left w:val="nil"/>
              <w:bottom w:val="nil"/>
              <w:right w:val="single" w:sz="4" w:space="0" w:color="auto"/>
            </w:tcBorders>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p>
        </w:tc>
        <w:tc>
          <w:tcPr>
            <w:tcW w:w="2126" w:type="dxa"/>
            <w:tcBorders>
              <w:left w:val="single" w:sz="4" w:space="0" w:color="auto"/>
            </w:tcBorders>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Bendra galia</w:t>
            </w:r>
          </w:p>
        </w:tc>
        <w:tc>
          <w:tcPr>
            <w:tcW w:w="5953" w:type="dxa"/>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Kitos charakteristikos</w:t>
            </w:r>
          </w:p>
        </w:tc>
      </w:tr>
      <w:tr w:rsidR="00CE7812" w:rsidTr="00B650F3">
        <w:tc>
          <w:tcPr>
            <w:tcW w:w="1668" w:type="dxa"/>
            <w:tcBorders>
              <w:top w:val="nil"/>
              <w:left w:val="nil"/>
              <w:bottom w:val="nil"/>
              <w:right w:val="single" w:sz="4" w:space="0" w:color="auto"/>
            </w:tcBorders>
          </w:tcPr>
          <w:p w:rsidR="00CE7812" w:rsidRDefault="00CE7812" w:rsidP="00A01636">
            <w:pPr>
              <w:tabs>
                <w:tab w:val="left" w:pos="720"/>
                <w:tab w:val="left" w:pos="851"/>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D66995">
              <w:rPr>
                <w:rFonts w:ascii="Times New Roman" w:eastAsia="Times New Roman" w:hAnsi="Times New Roman"/>
                <w:sz w:val="24"/>
                <w:szCs w:val="24"/>
                <w:lang w:eastAsia="lt-LT"/>
              </w:rPr>
              <w:t>.1.1.</w:t>
            </w:r>
          </w:p>
        </w:tc>
        <w:tc>
          <w:tcPr>
            <w:tcW w:w="2126" w:type="dxa"/>
            <w:tcBorders>
              <w:left w:val="single" w:sz="4" w:space="0" w:color="auto"/>
            </w:tcBorders>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iki 2 kW</w:t>
            </w:r>
          </w:p>
        </w:tc>
        <w:tc>
          <w:tcPr>
            <w:tcW w:w="5953" w:type="dxa"/>
            <w:vMerge w:val="restart"/>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r w:rsidRPr="00E64786">
              <w:rPr>
                <w:rFonts w:ascii="Times New Roman" w:eastAsia="Times New Roman" w:hAnsi="Times New Roman"/>
                <w:color w:val="000000" w:themeColor="text1"/>
                <w:sz w:val="24"/>
                <w:szCs w:val="24"/>
                <w:lang w:eastAsia="lt-LT"/>
              </w:rPr>
              <w:t xml:space="preserve">Renginio pobūdį ir programą atitinkantys pilno įgarsinimo aparatūros komplektai: garso kolonėlės (aukštų/vidutinių /žemų dažnių), garso pultas, </w:t>
            </w:r>
            <w:proofErr w:type="spellStart"/>
            <w:r w:rsidRPr="00E64786">
              <w:rPr>
                <w:rFonts w:ascii="Times New Roman" w:eastAsia="Times New Roman" w:hAnsi="Times New Roman"/>
                <w:color w:val="000000" w:themeColor="text1"/>
                <w:sz w:val="24"/>
                <w:szCs w:val="24"/>
                <w:lang w:eastAsia="lt-LT"/>
              </w:rPr>
              <w:t>audio</w:t>
            </w:r>
            <w:proofErr w:type="spellEnd"/>
            <w:r w:rsidRPr="00E64786">
              <w:rPr>
                <w:rFonts w:ascii="Times New Roman" w:eastAsia="Times New Roman" w:hAnsi="Times New Roman"/>
                <w:color w:val="000000" w:themeColor="text1"/>
                <w:sz w:val="24"/>
                <w:szCs w:val="24"/>
                <w:lang w:eastAsia="lt-LT"/>
              </w:rPr>
              <w:t xml:space="preserve"> grotuvas (CD/USB /MP3), kompiuteris, 2–8 mikrofonai, kabeliai, laidai, </w:t>
            </w:r>
            <w:r w:rsidRPr="00E64786">
              <w:rPr>
                <w:rFonts w:ascii="Times New Roman" w:eastAsia="Times New Roman" w:hAnsi="Times New Roman"/>
                <w:color w:val="000000" w:themeColor="text1"/>
                <w:sz w:val="24"/>
                <w:szCs w:val="24"/>
                <w:lang w:eastAsia="lt-LT"/>
              </w:rPr>
              <w:lastRenderedPageBreak/>
              <w:t>stovai, stiprintuvai, šakotuvai, monitoriai ir kita įgarsinimo įranga, detalės ir reikmenys, būtini kokybiškam renginio įgarsinimui.</w:t>
            </w:r>
          </w:p>
        </w:tc>
      </w:tr>
      <w:tr w:rsidR="00CE7812" w:rsidTr="00B650F3">
        <w:tc>
          <w:tcPr>
            <w:tcW w:w="1668" w:type="dxa"/>
            <w:tcBorders>
              <w:top w:val="nil"/>
              <w:left w:val="nil"/>
              <w:bottom w:val="nil"/>
              <w:right w:val="single" w:sz="4" w:space="0" w:color="auto"/>
            </w:tcBorders>
          </w:tcPr>
          <w:p w:rsidR="00CE7812" w:rsidRDefault="00CE7812" w:rsidP="00A01636">
            <w:pPr>
              <w:tabs>
                <w:tab w:val="left" w:pos="720"/>
                <w:tab w:val="left" w:pos="851"/>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D66995">
              <w:rPr>
                <w:rFonts w:ascii="Times New Roman" w:eastAsia="Times New Roman" w:hAnsi="Times New Roman"/>
                <w:sz w:val="24"/>
                <w:szCs w:val="24"/>
                <w:lang w:eastAsia="lt-LT"/>
              </w:rPr>
              <w:t>.1.2.</w:t>
            </w:r>
          </w:p>
        </w:tc>
        <w:tc>
          <w:tcPr>
            <w:tcW w:w="2126" w:type="dxa"/>
            <w:tcBorders>
              <w:left w:val="single" w:sz="4" w:space="0" w:color="auto"/>
            </w:tcBorders>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2 kW iki 6 kW</w:t>
            </w:r>
          </w:p>
        </w:tc>
        <w:tc>
          <w:tcPr>
            <w:tcW w:w="5953" w:type="dxa"/>
            <w:vMerge/>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p>
        </w:tc>
      </w:tr>
      <w:tr w:rsidR="00CE7812" w:rsidTr="00B650F3">
        <w:tc>
          <w:tcPr>
            <w:tcW w:w="1668" w:type="dxa"/>
            <w:tcBorders>
              <w:top w:val="nil"/>
              <w:left w:val="nil"/>
              <w:bottom w:val="nil"/>
              <w:right w:val="single" w:sz="4" w:space="0" w:color="auto"/>
            </w:tcBorders>
          </w:tcPr>
          <w:p w:rsidR="00CE7812" w:rsidRDefault="00CE7812" w:rsidP="00A01636">
            <w:pPr>
              <w:tabs>
                <w:tab w:val="left" w:pos="720"/>
                <w:tab w:val="left" w:pos="851"/>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D66995">
              <w:rPr>
                <w:rFonts w:ascii="Times New Roman" w:eastAsia="Times New Roman" w:hAnsi="Times New Roman"/>
                <w:sz w:val="24"/>
                <w:szCs w:val="24"/>
                <w:lang w:eastAsia="lt-LT"/>
              </w:rPr>
              <w:t>.1.3.</w:t>
            </w:r>
          </w:p>
        </w:tc>
        <w:tc>
          <w:tcPr>
            <w:tcW w:w="2126" w:type="dxa"/>
            <w:tcBorders>
              <w:left w:val="single" w:sz="4" w:space="0" w:color="auto"/>
            </w:tcBorders>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6 kW iki10 kW</w:t>
            </w:r>
          </w:p>
        </w:tc>
        <w:tc>
          <w:tcPr>
            <w:tcW w:w="5953" w:type="dxa"/>
            <w:vMerge/>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p>
        </w:tc>
      </w:tr>
      <w:tr w:rsidR="00CE7812" w:rsidTr="00B650F3">
        <w:tc>
          <w:tcPr>
            <w:tcW w:w="1668" w:type="dxa"/>
            <w:tcBorders>
              <w:top w:val="nil"/>
              <w:left w:val="nil"/>
              <w:bottom w:val="nil"/>
              <w:right w:val="single" w:sz="4" w:space="0" w:color="auto"/>
            </w:tcBorders>
          </w:tcPr>
          <w:p w:rsidR="00CE7812" w:rsidRDefault="00CE7812" w:rsidP="00A01636">
            <w:pPr>
              <w:tabs>
                <w:tab w:val="left" w:pos="720"/>
                <w:tab w:val="left" w:pos="851"/>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D66995">
              <w:rPr>
                <w:rFonts w:ascii="Times New Roman" w:eastAsia="Times New Roman" w:hAnsi="Times New Roman"/>
                <w:sz w:val="24"/>
                <w:szCs w:val="24"/>
                <w:lang w:eastAsia="lt-LT"/>
              </w:rPr>
              <w:t>.1.4.</w:t>
            </w:r>
          </w:p>
        </w:tc>
        <w:tc>
          <w:tcPr>
            <w:tcW w:w="2126" w:type="dxa"/>
            <w:tcBorders>
              <w:left w:val="single" w:sz="4" w:space="0" w:color="auto"/>
            </w:tcBorders>
          </w:tcPr>
          <w:p w:rsidR="00CE7812" w:rsidRPr="00D66995" w:rsidRDefault="00CE7812"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10 kW</w:t>
            </w:r>
          </w:p>
        </w:tc>
        <w:tc>
          <w:tcPr>
            <w:tcW w:w="5953" w:type="dxa"/>
            <w:vMerge/>
          </w:tcPr>
          <w:p w:rsidR="00CE7812" w:rsidRDefault="00CE7812" w:rsidP="00A01636">
            <w:pPr>
              <w:tabs>
                <w:tab w:val="left" w:pos="720"/>
                <w:tab w:val="left" w:pos="851"/>
                <w:tab w:val="left" w:pos="1134"/>
              </w:tabs>
              <w:jc w:val="both"/>
              <w:rPr>
                <w:rFonts w:ascii="Times New Roman" w:eastAsia="Times New Roman" w:hAnsi="Times New Roman"/>
                <w:sz w:val="24"/>
                <w:szCs w:val="24"/>
                <w:lang w:eastAsia="lt-LT"/>
              </w:rPr>
            </w:pPr>
          </w:p>
        </w:tc>
      </w:tr>
    </w:tbl>
    <w:p w:rsidR="00CE7812" w:rsidRPr="00D66995" w:rsidRDefault="00CE7812" w:rsidP="00CE7812">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7.9</w:t>
      </w:r>
      <w:r w:rsidRPr="00D66995">
        <w:rPr>
          <w:rFonts w:ascii="Times New Roman" w:eastAsia="Times New Roman" w:hAnsi="Times New Roman"/>
          <w:sz w:val="24"/>
          <w:szCs w:val="24"/>
          <w:lang w:eastAsia="lt-LT"/>
        </w:rPr>
        <w:t xml:space="preserve">.2. Įgarsinimo aparatūros komplektai (pagal šios techninės specifikacijos </w:t>
      </w:r>
      <w:r>
        <w:rPr>
          <w:rFonts w:ascii="Times New Roman" w:eastAsia="Times New Roman" w:hAnsi="Times New Roman"/>
          <w:sz w:val="24"/>
          <w:szCs w:val="24"/>
          <w:lang w:eastAsia="lt-LT"/>
        </w:rPr>
        <w:t>6.9.1 papunktyje</w:t>
      </w:r>
      <w:r w:rsidRPr="00D66995">
        <w:rPr>
          <w:rFonts w:ascii="Times New Roman" w:eastAsia="Times New Roman" w:hAnsi="Times New Roman"/>
          <w:sz w:val="24"/>
          <w:szCs w:val="24"/>
          <w:lang w:eastAsia="lt-LT"/>
        </w:rPr>
        <w:t xml:space="preserve"> nurodytus tipus) turi atitikti renginio pobūdį, renginio erdvės dydį, vietą ir programą, sudaryti vieningą funkcionuojančią sistemą, užtikrinti raiškų ir kokybišką renginio įgarsinimą.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7.9.3. Įgarsinimo aparatūros komplektai turi būti pritaikomi lauko erdvių įgarsinimui, sceninių renginių įgarsinimui bei patalpose (konferencijų salėse ir pan.) vykstančių renginių įgarsinimui.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7.9.4. Įgarsinimo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7.10. Specialieji reikalavimai apšvietimo technikos komplektams, jų nuomai ir aptarnavimo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7.10.1. Apšvietimo technikos komplektų tipai:</w:t>
      </w:r>
    </w:p>
    <w:tbl>
      <w:tblPr>
        <w:tblStyle w:val="Lentelstinklelis"/>
        <w:tblW w:w="0" w:type="auto"/>
        <w:tblInd w:w="108" w:type="dxa"/>
        <w:tblLayout w:type="fixed"/>
        <w:tblLook w:val="04A0" w:firstRow="1" w:lastRow="0" w:firstColumn="1" w:lastColumn="0" w:noHBand="0" w:noVBand="1"/>
      </w:tblPr>
      <w:tblGrid>
        <w:gridCol w:w="1560"/>
        <w:gridCol w:w="2268"/>
        <w:gridCol w:w="2126"/>
        <w:gridCol w:w="2141"/>
        <w:gridCol w:w="1544"/>
      </w:tblGrid>
      <w:tr w:rsidR="00C811DF" w:rsidTr="00B650F3">
        <w:tc>
          <w:tcPr>
            <w:tcW w:w="1560" w:type="dxa"/>
            <w:vMerge w:val="restart"/>
            <w:tcBorders>
              <w:top w:val="nil"/>
              <w:left w:val="nil"/>
              <w:bottom w:val="nil"/>
              <w:right w:val="single" w:sz="4" w:space="0" w:color="auto"/>
            </w:tcBorders>
          </w:tcPr>
          <w:p w:rsidR="00C811DF" w:rsidRPr="00B71295" w:rsidRDefault="00C811DF" w:rsidP="00A01636">
            <w:pPr>
              <w:tabs>
                <w:tab w:val="left" w:pos="720"/>
                <w:tab w:val="left" w:pos="851"/>
                <w:tab w:val="left" w:pos="1134"/>
              </w:tabs>
              <w:jc w:val="center"/>
              <w:rPr>
                <w:rFonts w:ascii="Times New Roman" w:eastAsia="Times New Roman" w:hAnsi="Times New Roman"/>
                <w:sz w:val="24"/>
                <w:szCs w:val="24"/>
                <w:lang w:eastAsia="lt-LT"/>
              </w:rPr>
            </w:pPr>
          </w:p>
        </w:tc>
        <w:tc>
          <w:tcPr>
            <w:tcW w:w="2268" w:type="dxa"/>
            <w:vMerge w:val="restart"/>
            <w:tcBorders>
              <w:left w:val="single" w:sz="4" w:space="0" w:color="auto"/>
            </w:tcBorders>
          </w:tcPr>
          <w:p w:rsidR="00C811DF" w:rsidRDefault="00C811DF" w:rsidP="00A01636">
            <w:pPr>
              <w:tabs>
                <w:tab w:val="left" w:pos="720"/>
                <w:tab w:val="left" w:pos="851"/>
                <w:tab w:val="left" w:pos="1134"/>
              </w:tabs>
              <w:jc w:val="center"/>
              <w:rPr>
                <w:rFonts w:ascii="Times New Roman" w:eastAsia="Times New Roman" w:hAnsi="Times New Roman"/>
                <w:sz w:val="24"/>
                <w:szCs w:val="24"/>
                <w:lang w:eastAsia="lt-LT"/>
              </w:rPr>
            </w:pPr>
            <w:r w:rsidRPr="00B71295">
              <w:rPr>
                <w:rFonts w:ascii="Times New Roman" w:eastAsia="Times New Roman" w:hAnsi="Times New Roman"/>
                <w:sz w:val="24"/>
                <w:szCs w:val="24"/>
                <w:lang w:eastAsia="lt-LT"/>
              </w:rPr>
              <w:t>Bendra galia</w:t>
            </w:r>
          </w:p>
        </w:tc>
        <w:tc>
          <w:tcPr>
            <w:tcW w:w="5811" w:type="dxa"/>
            <w:gridSpan w:val="3"/>
          </w:tcPr>
          <w:p w:rsidR="00C811DF" w:rsidRDefault="00C811DF" w:rsidP="00A01636">
            <w:pPr>
              <w:tabs>
                <w:tab w:val="left" w:pos="720"/>
                <w:tab w:val="left" w:pos="851"/>
                <w:tab w:val="left" w:pos="1134"/>
              </w:tabs>
              <w:ind w:firstLine="34"/>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Kitos charakteristikos</w:t>
            </w:r>
          </w:p>
        </w:tc>
      </w:tr>
      <w:tr w:rsidR="00C811DF" w:rsidTr="00B650F3">
        <w:tc>
          <w:tcPr>
            <w:tcW w:w="1560" w:type="dxa"/>
            <w:vMerge/>
            <w:tcBorders>
              <w:top w:val="nil"/>
              <w:left w:val="nil"/>
              <w:bottom w:val="nil"/>
              <w:right w:val="single" w:sz="4" w:space="0" w:color="auto"/>
            </w:tcBorders>
          </w:tcPr>
          <w:p w:rsidR="00C811DF" w:rsidRDefault="00C811DF" w:rsidP="00A01636">
            <w:pPr>
              <w:tabs>
                <w:tab w:val="left" w:pos="720"/>
                <w:tab w:val="left" w:pos="851"/>
                <w:tab w:val="left" w:pos="1134"/>
              </w:tabs>
              <w:jc w:val="center"/>
              <w:rPr>
                <w:rFonts w:ascii="Times New Roman" w:eastAsia="Times New Roman" w:hAnsi="Times New Roman"/>
                <w:sz w:val="24"/>
                <w:szCs w:val="24"/>
                <w:lang w:eastAsia="lt-LT"/>
              </w:rPr>
            </w:pPr>
          </w:p>
        </w:tc>
        <w:tc>
          <w:tcPr>
            <w:tcW w:w="2268" w:type="dxa"/>
            <w:vMerge/>
            <w:tcBorders>
              <w:left w:val="single" w:sz="4" w:space="0" w:color="auto"/>
            </w:tcBorders>
          </w:tcPr>
          <w:p w:rsidR="00C811DF" w:rsidRDefault="00C811DF" w:rsidP="00A01636">
            <w:pPr>
              <w:tabs>
                <w:tab w:val="left" w:pos="720"/>
                <w:tab w:val="left" w:pos="851"/>
                <w:tab w:val="left" w:pos="1134"/>
              </w:tabs>
              <w:jc w:val="center"/>
              <w:rPr>
                <w:rFonts w:ascii="Times New Roman" w:eastAsia="Times New Roman" w:hAnsi="Times New Roman"/>
                <w:sz w:val="24"/>
                <w:szCs w:val="24"/>
                <w:lang w:eastAsia="lt-LT"/>
              </w:rPr>
            </w:pPr>
          </w:p>
        </w:tc>
        <w:tc>
          <w:tcPr>
            <w:tcW w:w="4267" w:type="dxa"/>
            <w:gridSpan w:val="2"/>
          </w:tcPr>
          <w:p w:rsidR="00C811DF" w:rsidRDefault="00C811DF" w:rsidP="00A01636">
            <w:pPr>
              <w:tabs>
                <w:tab w:val="left" w:pos="720"/>
                <w:tab w:val="left" w:pos="851"/>
                <w:tab w:val="left" w:pos="1134"/>
              </w:tabs>
              <w:ind w:firstLine="34"/>
              <w:jc w:val="center"/>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Prožektorių lempų tipas</w:t>
            </w:r>
          </w:p>
        </w:tc>
        <w:tc>
          <w:tcPr>
            <w:tcW w:w="1544" w:type="dxa"/>
            <w:vMerge w:val="restart"/>
          </w:tcPr>
          <w:p w:rsidR="00C811DF" w:rsidRDefault="00C811DF" w:rsidP="00A01636">
            <w:pPr>
              <w:tabs>
                <w:tab w:val="left" w:pos="720"/>
                <w:tab w:val="left" w:pos="851"/>
                <w:tab w:val="left" w:pos="1134"/>
              </w:tabs>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Judantys prožektoriai</w:t>
            </w:r>
          </w:p>
        </w:tc>
      </w:tr>
      <w:tr w:rsidR="00C811DF" w:rsidTr="00B650F3">
        <w:tc>
          <w:tcPr>
            <w:tcW w:w="1560" w:type="dxa"/>
            <w:vMerge/>
            <w:tcBorders>
              <w:top w:val="nil"/>
              <w:left w:val="nil"/>
              <w:bottom w:val="nil"/>
              <w:right w:val="single" w:sz="4" w:space="0" w:color="auto"/>
            </w:tcBorders>
          </w:tcPr>
          <w:p w:rsidR="00C811DF" w:rsidRDefault="00C811DF" w:rsidP="00A01636">
            <w:pPr>
              <w:tabs>
                <w:tab w:val="left" w:pos="720"/>
                <w:tab w:val="left" w:pos="851"/>
                <w:tab w:val="left" w:pos="1134"/>
              </w:tabs>
              <w:jc w:val="center"/>
              <w:rPr>
                <w:rFonts w:ascii="Times New Roman" w:eastAsia="Times New Roman" w:hAnsi="Times New Roman"/>
                <w:sz w:val="24"/>
                <w:szCs w:val="24"/>
                <w:lang w:eastAsia="lt-LT"/>
              </w:rPr>
            </w:pPr>
          </w:p>
        </w:tc>
        <w:tc>
          <w:tcPr>
            <w:tcW w:w="2268" w:type="dxa"/>
            <w:vMerge/>
            <w:tcBorders>
              <w:left w:val="single" w:sz="4" w:space="0" w:color="auto"/>
            </w:tcBorders>
          </w:tcPr>
          <w:p w:rsidR="00C811DF" w:rsidRDefault="00C811DF" w:rsidP="00A01636">
            <w:pPr>
              <w:tabs>
                <w:tab w:val="left" w:pos="720"/>
                <w:tab w:val="left" w:pos="851"/>
                <w:tab w:val="left" w:pos="1134"/>
              </w:tabs>
              <w:jc w:val="center"/>
              <w:rPr>
                <w:rFonts w:ascii="Times New Roman" w:eastAsia="Times New Roman" w:hAnsi="Times New Roman"/>
                <w:sz w:val="24"/>
                <w:szCs w:val="24"/>
                <w:lang w:eastAsia="lt-LT"/>
              </w:rPr>
            </w:pPr>
          </w:p>
        </w:tc>
        <w:tc>
          <w:tcPr>
            <w:tcW w:w="2126" w:type="dxa"/>
          </w:tcPr>
          <w:p w:rsidR="00C811DF" w:rsidRDefault="00C811DF" w:rsidP="00A01636">
            <w:pPr>
              <w:tabs>
                <w:tab w:val="left" w:pos="720"/>
                <w:tab w:val="left" w:pos="851"/>
                <w:tab w:val="left" w:pos="1134"/>
              </w:tabs>
              <w:jc w:val="center"/>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kaitrinės</w:t>
            </w:r>
          </w:p>
        </w:tc>
        <w:tc>
          <w:tcPr>
            <w:tcW w:w="2141" w:type="dxa"/>
          </w:tcPr>
          <w:p w:rsidR="00C811DF" w:rsidRDefault="00C811DF" w:rsidP="00A01636">
            <w:pPr>
              <w:tabs>
                <w:tab w:val="left" w:pos="720"/>
                <w:tab w:val="left" w:pos="851"/>
                <w:tab w:val="left" w:pos="1134"/>
              </w:tabs>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šviesos diodų</w:t>
            </w:r>
          </w:p>
        </w:tc>
        <w:tc>
          <w:tcPr>
            <w:tcW w:w="1544" w:type="dxa"/>
            <w:vMerge/>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p>
        </w:tc>
      </w:tr>
      <w:tr w:rsidR="00C811DF" w:rsidTr="00B650F3">
        <w:tc>
          <w:tcPr>
            <w:tcW w:w="1560" w:type="dxa"/>
            <w:tcBorders>
              <w:top w:val="nil"/>
              <w:left w:val="nil"/>
              <w:bottom w:val="nil"/>
              <w:right w:val="single" w:sz="4" w:space="0" w:color="auto"/>
            </w:tcBorders>
          </w:tcPr>
          <w:p w:rsidR="00C811DF" w:rsidRPr="00D66995" w:rsidRDefault="00C811DF" w:rsidP="00A01636">
            <w:pPr>
              <w:tabs>
                <w:tab w:val="left" w:pos="720"/>
                <w:tab w:val="left" w:pos="851"/>
                <w:tab w:val="left" w:pos="1134"/>
              </w:tabs>
              <w:ind w:firstLine="45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7.10</w:t>
            </w:r>
            <w:r w:rsidRPr="00D66995">
              <w:rPr>
                <w:rFonts w:ascii="Times New Roman" w:eastAsia="Times New Roman" w:hAnsi="Times New Roman"/>
                <w:sz w:val="24"/>
                <w:szCs w:val="24"/>
                <w:lang w:eastAsia="lt-LT"/>
              </w:rPr>
              <w:t>.1.1.</w:t>
            </w:r>
          </w:p>
          <w:p w:rsidR="00C811DF" w:rsidRPr="00D66995" w:rsidRDefault="00C811DF" w:rsidP="00A01636">
            <w:pPr>
              <w:tabs>
                <w:tab w:val="left" w:pos="720"/>
                <w:tab w:val="left" w:pos="851"/>
                <w:tab w:val="left" w:pos="1134"/>
              </w:tabs>
              <w:jc w:val="both"/>
              <w:rPr>
                <w:rFonts w:ascii="Times New Roman" w:eastAsia="Times New Roman" w:hAnsi="Times New Roman"/>
                <w:sz w:val="24"/>
                <w:szCs w:val="24"/>
                <w:lang w:eastAsia="lt-LT"/>
              </w:rPr>
            </w:pPr>
          </w:p>
        </w:tc>
        <w:tc>
          <w:tcPr>
            <w:tcW w:w="2268" w:type="dxa"/>
            <w:tcBorders>
              <w:left w:val="single" w:sz="4" w:space="0" w:color="auto"/>
            </w:tcBorders>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iki 6 k</w:t>
            </w:r>
            <w:r>
              <w:rPr>
                <w:rFonts w:ascii="Times New Roman" w:eastAsia="Times New Roman" w:hAnsi="Times New Roman"/>
                <w:sz w:val="24"/>
                <w:szCs w:val="24"/>
                <w:lang w:eastAsia="lt-LT"/>
              </w:rPr>
              <w:t>W</w:t>
            </w:r>
          </w:p>
        </w:tc>
        <w:tc>
          <w:tcPr>
            <w:tcW w:w="2126" w:type="dxa"/>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daugiau 60 proc.</w:t>
            </w:r>
          </w:p>
        </w:tc>
        <w:tc>
          <w:tcPr>
            <w:tcW w:w="2141" w:type="dxa"/>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40 proc.</w:t>
            </w:r>
          </w:p>
        </w:tc>
        <w:tc>
          <w:tcPr>
            <w:tcW w:w="1544" w:type="dxa"/>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privaloma</w:t>
            </w:r>
          </w:p>
        </w:tc>
      </w:tr>
      <w:tr w:rsidR="00C811DF" w:rsidTr="00B650F3">
        <w:tc>
          <w:tcPr>
            <w:tcW w:w="1560" w:type="dxa"/>
            <w:tcBorders>
              <w:top w:val="nil"/>
              <w:left w:val="nil"/>
              <w:bottom w:val="nil"/>
              <w:right w:val="single" w:sz="4" w:space="0" w:color="auto"/>
            </w:tcBorders>
          </w:tcPr>
          <w:p w:rsidR="00C811DF" w:rsidRPr="00D66995" w:rsidRDefault="00C811DF" w:rsidP="00A01636">
            <w:pPr>
              <w:tabs>
                <w:tab w:val="left" w:pos="720"/>
                <w:tab w:val="left" w:pos="851"/>
                <w:tab w:val="left" w:pos="1134"/>
              </w:tabs>
              <w:ind w:firstLine="45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7.10</w:t>
            </w:r>
            <w:r w:rsidRPr="00D66995">
              <w:rPr>
                <w:rFonts w:ascii="Times New Roman" w:eastAsia="Times New Roman" w:hAnsi="Times New Roman"/>
                <w:sz w:val="24"/>
                <w:szCs w:val="24"/>
                <w:lang w:eastAsia="lt-LT"/>
              </w:rPr>
              <w:t>.1.2.</w:t>
            </w:r>
          </w:p>
        </w:tc>
        <w:tc>
          <w:tcPr>
            <w:tcW w:w="2268" w:type="dxa"/>
            <w:tcBorders>
              <w:left w:val="single" w:sz="4" w:space="0" w:color="auto"/>
            </w:tcBorders>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6 kW iki 13 kW</w:t>
            </w:r>
          </w:p>
        </w:tc>
        <w:tc>
          <w:tcPr>
            <w:tcW w:w="2126" w:type="dxa"/>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daugiau 50 proc.</w:t>
            </w:r>
          </w:p>
        </w:tc>
        <w:tc>
          <w:tcPr>
            <w:tcW w:w="2141" w:type="dxa"/>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50 proc.</w:t>
            </w:r>
          </w:p>
        </w:tc>
        <w:tc>
          <w:tcPr>
            <w:tcW w:w="1544" w:type="dxa"/>
          </w:tcPr>
          <w:p w:rsidR="00C811DF"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kaip 30 proc.</w:t>
            </w:r>
          </w:p>
        </w:tc>
      </w:tr>
      <w:tr w:rsidR="00C811DF" w:rsidTr="00B650F3">
        <w:tc>
          <w:tcPr>
            <w:tcW w:w="1560" w:type="dxa"/>
            <w:tcBorders>
              <w:top w:val="nil"/>
              <w:left w:val="nil"/>
              <w:bottom w:val="nil"/>
              <w:right w:val="single" w:sz="4" w:space="0" w:color="auto"/>
            </w:tcBorders>
          </w:tcPr>
          <w:p w:rsidR="00C811DF" w:rsidRPr="00D66995" w:rsidRDefault="00C811DF" w:rsidP="00A01636">
            <w:pPr>
              <w:tabs>
                <w:tab w:val="left" w:pos="720"/>
                <w:tab w:val="left" w:pos="851"/>
                <w:tab w:val="left" w:pos="1134"/>
              </w:tabs>
              <w:ind w:firstLine="45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7.10</w:t>
            </w:r>
            <w:r w:rsidRPr="00D66995">
              <w:rPr>
                <w:rFonts w:ascii="Times New Roman" w:eastAsia="Times New Roman" w:hAnsi="Times New Roman"/>
                <w:sz w:val="24"/>
                <w:szCs w:val="24"/>
                <w:lang w:eastAsia="lt-LT"/>
              </w:rPr>
              <w:t>.1.3.</w:t>
            </w:r>
          </w:p>
        </w:tc>
        <w:tc>
          <w:tcPr>
            <w:tcW w:w="2268" w:type="dxa"/>
            <w:tcBorders>
              <w:left w:val="single" w:sz="4" w:space="0" w:color="auto"/>
            </w:tcBorders>
          </w:tcPr>
          <w:p w:rsidR="00C811DF" w:rsidRPr="00D66995"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nuo 13 kW</w:t>
            </w:r>
          </w:p>
        </w:tc>
        <w:tc>
          <w:tcPr>
            <w:tcW w:w="2126" w:type="dxa"/>
          </w:tcPr>
          <w:p w:rsidR="00C811DF" w:rsidRPr="00D66995"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daugiau 50 proc.</w:t>
            </w:r>
          </w:p>
        </w:tc>
        <w:tc>
          <w:tcPr>
            <w:tcW w:w="2141" w:type="dxa"/>
          </w:tcPr>
          <w:p w:rsidR="00C811DF" w:rsidRPr="00D66995"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50 proc.</w:t>
            </w:r>
          </w:p>
        </w:tc>
        <w:tc>
          <w:tcPr>
            <w:tcW w:w="1544" w:type="dxa"/>
          </w:tcPr>
          <w:p w:rsidR="00C811DF" w:rsidRPr="00D66995" w:rsidRDefault="00C811DF" w:rsidP="00A01636">
            <w:pPr>
              <w:tabs>
                <w:tab w:val="left" w:pos="720"/>
                <w:tab w:val="left" w:pos="851"/>
                <w:tab w:val="left" w:pos="1134"/>
              </w:tabs>
              <w:jc w:val="both"/>
              <w:rPr>
                <w:rFonts w:ascii="Times New Roman" w:eastAsia="Times New Roman" w:hAnsi="Times New Roman"/>
                <w:sz w:val="24"/>
                <w:szCs w:val="24"/>
                <w:lang w:eastAsia="lt-LT"/>
              </w:rPr>
            </w:pPr>
            <w:r w:rsidRPr="00D66995">
              <w:rPr>
                <w:rFonts w:ascii="Times New Roman" w:eastAsia="Times New Roman" w:hAnsi="Times New Roman"/>
                <w:sz w:val="24"/>
                <w:szCs w:val="24"/>
                <w:lang w:eastAsia="lt-LT"/>
              </w:rPr>
              <w:t>ne mažiau kaip 40 proc.</w:t>
            </w:r>
          </w:p>
        </w:tc>
      </w:tr>
    </w:tbl>
    <w:p w:rsidR="00C811DF" w:rsidRPr="00D66995" w:rsidRDefault="00C811DF" w:rsidP="00C811DF">
      <w:pPr>
        <w:tabs>
          <w:tab w:val="left" w:pos="720"/>
          <w:tab w:val="left" w:pos="851"/>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7.10</w:t>
      </w:r>
      <w:r w:rsidRPr="00D66995">
        <w:rPr>
          <w:rFonts w:ascii="Times New Roman" w:eastAsia="Times New Roman" w:hAnsi="Times New Roman"/>
          <w:sz w:val="24"/>
          <w:szCs w:val="24"/>
          <w:lang w:eastAsia="lt-LT"/>
        </w:rPr>
        <w:t xml:space="preserve">.2. Apšvietimo technikos komplektai (pagal šios techninės specifikacijos </w:t>
      </w:r>
      <w:r>
        <w:rPr>
          <w:rFonts w:ascii="Times New Roman" w:eastAsia="Times New Roman" w:hAnsi="Times New Roman"/>
          <w:sz w:val="24"/>
          <w:szCs w:val="24"/>
          <w:lang w:eastAsia="lt-LT"/>
        </w:rPr>
        <w:t>6.10.1 papunktyje</w:t>
      </w:r>
      <w:r w:rsidRPr="00D66995">
        <w:rPr>
          <w:rFonts w:ascii="Times New Roman" w:eastAsia="Times New Roman" w:hAnsi="Times New Roman"/>
          <w:sz w:val="24"/>
          <w:szCs w:val="24"/>
          <w:lang w:eastAsia="lt-LT"/>
        </w:rPr>
        <w:t xml:space="preserve"> nurodytus tipus) turi atitikti renginio pobūdį, scenos dydį, vietą ir programą, sudaryti vieningą funkcionuojančią sistemą, užtikrinti menišką, kokybišką renginio apšvietimą.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7.10.3. Apšvietimo technikos komplektai turi būti pritaikomi lauko erdvių apšvietimui, sceninių renginių apšvietimui, foto/video apšvietimui, meniniam architektūros, paviljonų ir darbinių patalpų apšvietimui.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7.10.4. Apšvietimo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7.11. Renginio garso/video įrašus reikės pateikti kompiuterinėje duomenų laikmenoje (CD ir (ar) USB kompiuterinėse duomenų laikmenose);</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7.12. Vaizdo ir garso įrašymo įrangos charakteristikos: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7.12.1. reikalavimai filmavimo kameroms: </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7.12.1.1. kiekis nemažiau nei 2 vnt.;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7.12.1.2. raiška ne blogesnė negu 1920x1080 (</w:t>
      </w:r>
      <w:proofErr w:type="spellStart"/>
      <w:r w:rsidRPr="000612E5">
        <w:rPr>
          <w:rFonts w:ascii="Times New Roman" w:eastAsia="Times New Roman" w:hAnsi="Times New Roman"/>
          <w:sz w:val="24"/>
          <w:szCs w:val="24"/>
          <w:lang w:eastAsia="lt-LT"/>
        </w:rPr>
        <w:t>Full</w:t>
      </w:r>
      <w:proofErr w:type="spellEnd"/>
      <w:r w:rsidRPr="000612E5">
        <w:rPr>
          <w:rFonts w:ascii="Times New Roman" w:eastAsia="Times New Roman" w:hAnsi="Times New Roman"/>
          <w:sz w:val="24"/>
          <w:szCs w:val="24"/>
          <w:lang w:eastAsia="lt-LT"/>
        </w:rPr>
        <w:t xml:space="preserve"> HD);</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7.12.1.3. profesionalus signalo perdavimo standartas HD </w:t>
      </w:r>
      <w:proofErr w:type="spellStart"/>
      <w:r w:rsidRPr="000612E5">
        <w:rPr>
          <w:rFonts w:ascii="Times New Roman" w:eastAsia="Times New Roman" w:hAnsi="Times New Roman"/>
          <w:sz w:val="24"/>
          <w:szCs w:val="24"/>
          <w:lang w:eastAsia="lt-LT"/>
        </w:rPr>
        <w:t>sdi</w:t>
      </w:r>
      <w:proofErr w:type="spellEnd"/>
      <w:r w:rsidRPr="000612E5">
        <w:rPr>
          <w:rFonts w:ascii="Times New Roman" w:eastAsia="Times New Roman" w:hAnsi="Times New Roman"/>
          <w:sz w:val="24"/>
          <w:szCs w:val="24"/>
          <w:lang w:eastAsia="lt-LT"/>
        </w:rPr>
        <w:t xml:space="preserve"> arba lygiavertis;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7.12.1. 4. kamerų stovai užtikrinantys stabilų, nedrebantį vaizdą.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7.12.2. reikalavimai video serveriui: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7.12.2.1. </w:t>
      </w:r>
      <w:proofErr w:type="spellStart"/>
      <w:r w:rsidRPr="000612E5">
        <w:rPr>
          <w:rFonts w:ascii="Times New Roman" w:eastAsia="Times New Roman" w:hAnsi="Times New Roman"/>
          <w:sz w:val="24"/>
          <w:szCs w:val="24"/>
          <w:lang w:eastAsia="lt-LT"/>
        </w:rPr>
        <w:t>Resolume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MacPro</w:t>
      </w:r>
      <w:proofErr w:type="spellEnd"/>
      <w:r w:rsidRPr="000612E5">
        <w:rPr>
          <w:rFonts w:ascii="Times New Roman" w:eastAsia="Times New Roman" w:hAnsi="Times New Roman"/>
          <w:sz w:val="24"/>
          <w:szCs w:val="24"/>
          <w:lang w:eastAsia="lt-LT"/>
        </w:rPr>
        <w:t xml:space="preserve"> arba lygiavertis;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7.12.2.2. transliacija internetu, per LED ekranus.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7.12.3. reikalavimai video pultui: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7.12.3.1. </w:t>
      </w:r>
      <w:proofErr w:type="spellStart"/>
      <w:r w:rsidRPr="000612E5">
        <w:rPr>
          <w:rFonts w:ascii="Times New Roman" w:eastAsia="Times New Roman" w:hAnsi="Times New Roman"/>
          <w:sz w:val="24"/>
          <w:szCs w:val="24"/>
          <w:lang w:eastAsia="lt-LT"/>
        </w:rPr>
        <w:t>Roland</w:t>
      </w:r>
      <w:proofErr w:type="spellEnd"/>
      <w:r w:rsidRPr="000612E5">
        <w:rPr>
          <w:rFonts w:ascii="Times New Roman" w:eastAsia="Times New Roman" w:hAnsi="Times New Roman"/>
          <w:sz w:val="24"/>
          <w:szCs w:val="24"/>
          <w:lang w:eastAsia="lt-LT"/>
        </w:rPr>
        <w:t xml:space="preserve"> HD arba lygiavertis.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 xml:space="preserve">7.13. </w:t>
      </w:r>
      <w:r w:rsidRPr="00C811DF">
        <w:rPr>
          <w:rFonts w:ascii="Times New Roman" w:eastAsia="Times New Roman" w:hAnsi="Times New Roman"/>
          <w:sz w:val="24"/>
          <w:szCs w:val="24"/>
          <w:u w:val="single"/>
          <w:lang w:eastAsia="lt-LT"/>
        </w:rPr>
        <w:t>Renginio įrangos nuomos ir aptarnavimo paslaugų kainodara</w:t>
      </w:r>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7.13.1. Renginio įrangos nuomos ir aptarnavimo paslaugų kaina, kai šią įrangą pateikia renginio vietos savininkas (viešbutis, konferencijų ar parodų centras ar pan.), turi būti įskaičiuota į renginio vietos nuomos (paslaugų) kainą ir negali viršyti oficialios renginio vietos savininko nustatytos kainos.</w:t>
      </w:r>
    </w:p>
    <w:p w:rsid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lastRenderedPageBreak/>
        <w:t>7.13.2. Renginio įrangos nuomos ir aptarnavimo paslaugoms taikomas kainos apskaičiavimo būdas – fiksuotas įkainis. Renginio įrangos aptarnavimo (krovimas, transportavimas, sumontavimas ir išmontavimas, įdiegimas, priežiūra, valdymas (pvz., LED ekranų, įgarsinimo, vaizdo aparatūros ar apšvietimo technikos komplektų operatorių ir technikų darbas renginio metu) ir visos kitos susijusios paslaugos) paslaugų kaina turi būti įskaičiuota į renginių įrangos nuomos kainą.</w:t>
      </w:r>
    </w:p>
    <w:p w:rsidR="00B650F3" w:rsidRPr="000612E5" w:rsidRDefault="00B650F3"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FB4934"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VIII</w:t>
      </w:r>
      <w:r w:rsidR="000612E5" w:rsidRPr="000612E5">
        <w:rPr>
          <w:rFonts w:ascii="Times New Roman" w:eastAsia="Times New Roman" w:hAnsi="Times New Roman"/>
          <w:b/>
          <w:sz w:val="24"/>
          <w:szCs w:val="24"/>
          <w:lang w:eastAsia="lt-LT"/>
        </w:rPr>
        <w:t>. RENGINIO DALYVIŲ MAITINIMO PASLAUGOS</w:t>
      </w: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612E5" w:rsidRPr="000612E5">
        <w:rPr>
          <w:rFonts w:ascii="Times New Roman" w:eastAsia="Times New Roman" w:hAnsi="Times New Roman"/>
          <w:sz w:val="24"/>
          <w:szCs w:val="24"/>
          <w:lang w:eastAsia="lt-LT"/>
        </w:rPr>
        <w:t>.1. 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612E5" w:rsidRPr="000612E5">
        <w:rPr>
          <w:rFonts w:ascii="Times New Roman" w:eastAsia="Times New Roman" w:hAnsi="Times New Roman"/>
          <w:sz w:val="24"/>
          <w:szCs w:val="24"/>
          <w:lang w:eastAsia="lt-LT"/>
        </w:rPr>
        <w:t>.2. 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612E5" w:rsidRPr="000612E5">
        <w:rPr>
          <w:rFonts w:ascii="Times New Roman" w:eastAsia="Times New Roman" w:hAnsi="Times New Roman"/>
          <w:sz w:val="24"/>
          <w:szCs w:val="24"/>
          <w:lang w:eastAsia="lt-LT"/>
        </w:rPr>
        <w:t>.3. Maitinimo ir aptarnavimo paslaugos apima maisto paruošimą, maisto ir gėrimų pateikimą priėmimų (sėdimų ir (ar) stovimų) metu, renginių dalyvių aptarnavimą, stalų serviravimą ir jų dekoravimą, atvežimą ir kitas paslaugas.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612E5" w:rsidRPr="000612E5">
        <w:rPr>
          <w:rFonts w:ascii="Times New Roman" w:eastAsia="Times New Roman" w:hAnsi="Times New Roman"/>
          <w:sz w:val="24"/>
          <w:szCs w:val="24"/>
          <w:lang w:eastAsia="lt-LT"/>
        </w:rPr>
        <w:t xml:space="preserve">.4. Paslaugų teikėjas turi užtikrinti pakankamą aptarnaujančio personalo (virėjų, padavėjų) kiekį, kad užtikrintų sklandų maitinimo paslaugų teikimą. Renginiuose padavėjai turi mokėti anglų kalbą; </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612E5" w:rsidRPr="000612E5">
        <w:rPr>
          <w:rFonts w:ascii="Times New Roman" w:eastAsia="Times New Roman" w:hAnsi="Times New Roman"/>
          <w:sz w:val="24"/>
          <w:szCs w:val="24"/>
          <w:lang w:eastAsia="lt-LT"/>
        </w:rPr>
        <w:t>.5. Renginiui gali būti užsakomos 2 tipų kavos pertraukos: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612E5" w:rsidRPr="000612E5">
        <w:rPr>
          <w:rFonts w:ascii="Times New Roman" w:eastAsia="Times New Roman" w:hAnsi="Times New Roman"/>
          <w:sz w:val="24"/>
          <w:szCs w:val="24"/>
          <w:lang w:eastAsia="lt-LT"/>
        </w:rPr>
        <w:t>.5.1. kavos pertrauka-1 kava (ne mažiau kaip 100 ml) ir/arba arbata (ne mažiau kaip 150 ml), grietinėlė (pienas), citrina, mineralinis (gazuotas, negazuotas) vanduo (ne mažiau kaip 200 ml), cukrus, pyragaitis ir (arba) bandelė, kurių bendras svoris vienam asmeniui būtų ne mažesnis nei 30 g);</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612E5" w:rsidRPr="000612E5">
        <w:rPr>
          <w:rFonts w:ascii="Times New Roman" w:eastAsia="Times New Roman" w:hAnsi="Times New Roman"/>
          <w:sz w:val="24"/>
          <w:szCs w:val="24"/>
          <w:lang w:eastAsia="lt-LT"/>
        </w:rPr>
        <w:t>.5.2. kavos pertrauka-2 kava (ne mažiau kaip 100 ml) ir/arba arbata (ne mažiau kaip 150 ml), grietinėlė (pienas), citrina, mineralinis (gazuotas, negazuotas) vanduo (ne mažiau kaip 200 ml), cukrus, ne mažiau kaip 3 skirtingi užkandžiai, kurių bendras svoris vienam asmeniui būtų ne mažesnis nei 150 g. Užkandžiams turi būti siūloma: pyragaičiai ir (arba) sausainiai ir (arba) bandelės ir (arba) vaisiai ir (arba) sumuštiniai (konkrečius užkandžius pasirenka perkančioji organizacija prieš kiekvieną renginį).</w:t>
      </w:r>
    </w:p>
    <w:p w:rsidR="000612E5" w:rsidRPr="000612E5" w:rsidRDefault="00FB4934" w:rsidP="00D756BF">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0612E5" w:rsidRPr="000612E5">
        <w:rPr>
          <w:rFonts w:ascii="Times New Roman" w:eastAsia="Times New Roman" w:hAnsi="Times New Roman"/>
          <w:sz w:val="24"/>
          <w:szCs w:val="24"/>
          <w:lang w:eastAsia="lt-LT"/>
        </w:rPr>
        <w:t xml:space="preserve">.6. </w:t>
      </w:r>
      <w:r w:rsidR="000612E5" w:rsidRPr="00AD794E">
        <w:rPr>
          <w:rFonts w:ascii="Times New Roman" w:eastAsia="Times New Roman" w:hAnsi="Times New Roman"/>
          <w:sz w:val="24"/>
          <w:szCs w:val="24"/>
          <w:u w:val="single"/>
          <w:lang w:eastAsia="lt-LT"/>
        </w:rPr>
        <w:t>Renginio dalyvių maitinimo paslaugų kainodara</w:t>
      </w:r>
      <w:r w:rsidR="000612E5" w:rsidRPr="000612E5">
        <w:rPr>
          <w:rFonts w:ascii="Times New Roman" w:eastAsia="Times New Roman" w:hAnsi="Times New Roman"/>
          <w:sz w:val="24"/>
          <w:szCs w:val="24"/>
          <w:lang w:eastAsia="lt-LT"/>
        </w:rPr>
        <w:t>:</w:t>
      </w:r>
      <w:r w:rsidR="00D756BF">
        <w:rPr>
          <w:rFonts w:ascii="Times New Roman" w:eastAsia="Times New Roman" w:hAnsi="Times New Roman"/>
          <w:sz w:val="24"/>
          <w:szCs w:val="24"/>
          <w:lang w:eastAsia="lt-LT"/>
        </w:rPr>
        <w:t xml:space="preserve"> r</w:t>
      </w:r>
      <w:r w:rsidR="000612E5" w:rsidRPr="000612E5">
        <w:rPr>
          <w:rFonts w:ascii="Times New Roman" w:eastAsia="Times New Roman" w:hAnsi="Times New Roman"/>
          <w:sz w:val="24"/>
          <w:szCs w:val="24"/>
          <w:lang w:eastAsia="lt-LT"/>
        </w:rPr>
        <w:t>enginio dalyvių maitinimo pasla</w:t>
      </w:r>
      <w:r w:rsidR="00D756BF">
        <w:rPr>
          <w:rFonts w:ascii="Times New Roman" w:eastAsia="Times New Roman" w:hAnsi="Times New Roman"/>
          <w:sz w:val="24"/>
          <w:szCs w:val="24"/>
          <w:lang w:eastAsia="lt-LT"/>
        </w:rPr>
        <w:t xml:space="preserve">ugų kainos apskaičiavimo būdas </w:t>
      </w:r>
      <w:r w:rsidR="000612E5" w:rsidRPr="000612E5">
        <w:rPr>
          <w:rFonts w:ascii="Times New Roman" w:eastAsia="Times New Roman" w:hAnsi="Times New Roman"/>
          <w:sz w:val="24"/>
          <w:szCs w:val="24"/>
          <w:lang w:eastAsia="lt-LT"/>
        </w:rPr>
        <w:t>– sutarti</w:t>
      </w:r>
      <w:r w:rsidR="00D756BF">
        <w:rPr>
          <w:rFonts w:ascii="Times New Roman" w:eastAsia="Times New Roman" w:hAnsi="Times New Roman"/>
          <w:sz w:val="24"/>
          <w:szCs w:val="24"/>
          <w:lang w:eastAsia="lt-LT"/>
        </w:rPr>
        <w:t>es vykdymo išlaidų atlyginimas</w:t>
      </w:r>
      <w:r w:rsidR="000612E5"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FB4934"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w:t>
      </w:r>
      <w:r w:rsidR="000612E5" w:rsidRPr="000612E5">
        <w:rPr>
          <w:rFonts w:ascii="Times New Roman" w:eastAsia="Times New Roman" w:hAnsi="Times New Roman"/>
          <w:b/>
          <w:sz w:val="24"/>
          <w:szCs w:val="24"/>
          <w:lang w:eastAsia="lt-LT"/>
        </w:rPr>
        <w:t>X. TRANSPORTO NUOMOS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0612E5" w:rsidRPr="000612E5">
        <w:rPr>
          <w:rFonts w:ascii="Times New Roman" w:eastAsia="Times New Roman" w:hAnsi="Times New Roman"/>
          <w:sz w:val="24"/>
          <w:szCs w:val="24"/>
          <w:lang w:eastAsia="lt-LT"/>
        </w:rPr>
        <w:t>.1. Paslaugų teikėjas įsipareigoja savo rizika ir priemonėmis teikti perkančiajai organizacijai pagal jos poreikį transporto priemonių nuomos su vairuotoju Lietuvos Respublikos teritorijoje paslaugas;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0612E5" w:rsidRPr="000612E5">
        <w:rPr>
          <w:rFonts w:ascii="Times New Roman" w:eastAsia="Times New Roman" w:hAnsi="Times New Roman"/>
          <w:sz w:val="24"/>
          <w:szCs w:val="24"/>
          <w:lang w:eastAsia="lt-LT"/>
        </w:rPr>
        <w:t>.2. Renginio dalyvių vežimo paslaugos turi būti teikiamos trijų ar keturių žvaigždučių kategorijų autobusais (35–70 vietų) (pagal Tarptautinės kelių transporto sąjungos 1985 metais priimtą Tarptautinę turistinių autobusų klasifikavimo sistemą) ir mikroautobusais (8–9 vietų ir 16–19 vietų) ar lengvaisiais automobiliais;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0612E5" w:rsidRPr="000612E5">
        <w:rPr>
          <w:rFonts w:ascii="Times New Roman" w:eastAsia="Times New Roman" w:hAnsi="Times New Roman"/>
          <w:sz w:val="24"/>
          <w:szCs w:val="24"/>
          <w:lang w:eastAsia="lt-LT"/>
        </w:rPr>
        <w:t>.3. Transporto paslaugos turi būti teikiamos techniškai ir funkcionaliai tvarkingomis, puikios būklės, reprezentatyvios išvaizdos transporto priemonėmis, pagamintomis ne anksčiau nei prieš 5 metus;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0612E5" w:rsidRPr="000612E5">
        <w:rPr>
          <w:rFonts w:ascii="Times New Roman" w:eastAsia="Times New Roman" w:hAnsi="Times New Roman"/>
          <w:sz w:val="24"/>
          <w:szCs w:val="24"/>
          <w:lang w:eastAsia="lt-LT"/>
        </w:rPr>
        <w:t>.4. Paslaugų teikėjas tiesiogiai atsakingas, kad transporto paslaugos ir jų kokybė atitiktų Lietuvos Respublikos teisės aktų reikalavimus;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9</w:t>
      </w:r>
      <w:r w:rsidR="000612E5" w:rsidRPr="000612E5">
        <w:rPr>
          <w:rFonts w:ascii="Times New Roman" w:eastAsia="Times New Roman" w:hAnsi="Times New Roman"/>
          <w:sz w:val="24"/>
          <w:szCs w:val="24"/>
          <w:lang w:eastAsia="lt-LT"/>
        </w:rPr>
        <w:t>.5. Paslaugų teikėjas atsako už žalą, padarytą keleivio gyvybei, sveikatai ar turtui kelionės metu, jeigu nėra įrodymų, kad žala atsirado dėl paties keleivio kaltės;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0612E5" w:rsidRPr="000612E5">
        <w:rPr>
          <w:rFonts w:ascii="Times New Roman" w:eastAsia="Times New Roman" w:hAnsi="Times New Roman"/>
          <w:sz w:val="24"/>
          <w:szCs w:val="24"/>
          <w:lang w:eastAsia="lt-LT"/>
        </w:rPr>
        <w:t>.6. Užtikrinti į Ministerijos organizuojamus renginius kviečiamų užsienio šalių atstovų kelionės iš kitos šalies į renginio ir (ar) apgyvendinimo vietą Lietuvos Respublikoje paslaugų teikimą. Užsienio šalių atstovų kelionės maršrutai, atvykimo-išvykimo laikai, transporto tipai ir kitos su kelione susijusios detalės derinamos su perkančiąja organizacija kiekvienu konkrečiu atveju. Tokio pobūdžio paslaugų poreikis perkančiojoje organizacijoje kyla tik išimtinais atvejais.</w:t>
      </w:r>
    </w:p>
    <w:p w:rsidR="000612E5" w:rsidRPr="000612E5" w:rsidRDefault="00FB4934"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0612E5" w:rsidRPr="000612E5">
        <w:rPr>
          <w:rFonts w:ascii="Times New Roman" w:eastAsia="Times New Roman" w:hAnsi="Times New Roman"/>
          <w:sz w:val="24"/>
          <w:szCs w:val="24"/>
          <w:lang w:eastAsia="lt-LT"/>
        </w:rPr>
        <w:t xml:space="preserve">.7. </w:t>
      </w:r>
      <w:r w:rsidR="000612E5" w:rsidRPr="00AD794E">
        <w:rPr>
          <w:rFonts w:ascii="Times New Roman" w:eastAsia="Times New Roman" w:hAnsi="Times New Roman"/>
          <w:sz w:val="24"/>
          <w:szCs w:val="24"/>
          <w:u w:val="single"/>
          <w:lang w:eastAsia="lt-LT"/>
        </w:rPr>
        <w:t>Transporto nuomos paslaugų kainodara</w:t>
      </w:r>
      <w:r w:rsidR="000612E5" w:rsidRPr="000612E5">
        <w:rPr>
          <w:rFonts w:ascii="Times New Roman" w:eastAsia="Times New Roman" w:hAnsi="Times New Roman"/>
          <w:sz w:val="24"/>
          <w:szCs w:val="24"/>
          <w:lang w:eastAsia="lt-LT"/>
        </w:rPr>
        <w:t>: transporto nuomos paslaug</w:t>
      </w:r>
      <w:r w:rsidR="002205EB">
        <w:rPr>
          <w:rFonts w:ascii="Times New Roman" w:eastAsia="Times New Roman" w:hAnsi="Times New Roman"/>
          <w:sz w:val="24"/>
          <w:szCs w:val="24"/>
          <w:lang w:eastAsia="lt-LT"/>
        </w:rPr>
        <w:t>ų</w:t>
      </w:r>
      <w:r w:rsidR="000612E5" w:rsidRPr="000612E5">
        <w:rPr>
          <w:rFonts w:ascii="Times New Roman" w:eastAsia="Times New Roman" w:hAnsi="Times New Roman"/>
          <w:sz w:val="24"/>
          <w:szCs w:val="24"/>
          <w:lang w:eastAsia="lt-LT"/>
        </w:rPr>
        <w:t xml:space="preserve"> </w:t>
      </w:r>
      <w:r w:rsidR="002205EB" w:rsidRPr="004E26FD">
        <w:rPr>
          <w:rFonts w:ascii="Times New Roman" w:eastAsia="Times New Roman" w:hAnsi="Times New Roman"/>
          <w:color w:val="000000" w:themeColor="text1"/>
          <w:sz w:val="24"/>
          <w:szCs w:val="24"/>
          <w:lang w:eastAsia="lt-LT"/>
        </w:rPr>
        <w:t>kainą sudaro Paslaugų teikėjo faktiškai patiriamos išlaidos, tiesiogiai susijusios su Sutarties vykdymu</w:t>
      </w:r>
      <w:r w:rsidR="000612E5"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X. RENGINIO FOTOGRAFAVIMO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0</w:t>
      </w:r>
      <w:r w:rsidRPr="000612E5">
        <w:rPr>
          <w:rFonts w:ascii="Times New Roman" w:eastAsia="Times New Roman" w:hAnsi="Times New Roman"/>
          <w:sz w:val="24"/>
          <w:szCs w:val="24"/>
          <w:lang w:eastAsia="lt-LT"/>
        </w:rPr>
        <w:t>.1. Fotografavimo paslaugoms atlikti turi turėti reikalingą fotografavimo įrangą.</w:t>
      </w:r>
    </w:p>
    <w:p w:rsidR="00EA1C90" w:rsidRDefault="00EA1C90"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10.2. </w:t>
      </w:r>
      <w:r w:rsidR="00A40B70" w:rsidRPr="004C0964">
        <w:rPr>
          <w:rFonts w:ascii="Times New Roman" w:hAnsi="Times New Roman"/>
          <w:sz w:val="24"/>
        </w:rPr>
        <w:t xml:space="preserve">Paslaugų teikėjas nuotraukas privalės pateikti ne mažesnės nei 300 </w:t>
      </w:r>
      <w:proofErr w:type="spellStart"/>
      <w:r w:rsidR="00A40B70" w:rsidRPr="004C0964">
        <w:rPr>
          <w:rFonts w:ascii="Times New Roman" w:hAnsi="Times New Roman"/>
          <w:sz w:val="24"/>
        </w:rPr>
        <w:t>dpi</w:t>
      </w:r>
      <w:proofErr w:type="spellEnd"/>
      <w:r w:rsidR="00A40B70" w:rsidRPr="004C0964">
        <w:rPr>
          <w:rFonts w:ascii="Times New Roman" w:hAnsi="Times New Roman"/>
          <w:sz w:val="24"/>
        </w:rPr>
        <w:t xml:space="preserve"> rezoliucijos,</w:t>
      </w:r>
      <w:r w:rsidR="00A40B70">
        <w:rPr>
          <w:rFonts w:ascii="Times New Roman" w:hAnsi="Times New Roman"/>
          <w:sz w:val="24"/>
        </w:rPr>
        <w:t xml:space="preserve"> </w:t>
      </w:r>
      <w:r w:rsidR="00A40B70" w:rsidRPr="004C0964">
        <w:rPr>
          <w:rFonts w:ascii="Times New Roman" w:hAnsi="Times New Roman"/>
          <w:sz w:val="24"/>
        </w:rPr>
        <w:t>sutartyje nurodytu elektroniniu pašto adresu arba kompiuterinėje laikmenoje</w:t>
      </w:r>
      <w:r w:rsidR="00A40B70">
        <w:rPr>
          <w:rFonts w:ascii="Times New Roman" w:hAnsi="Times New Roman"/>
          <w:sz w:val="24"/>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0</w:t>
      </w:r>
      <w:r w:rsidRPr="000612E5">
        <w:rPr>
          <w:rFonts w:ascii="Times New Roman" w:eastAsia="Times New Roman" w:hAnsi="Times New Roman"/>
          <w:sz w:val="24"/>
          <w:szCs w:val="24"/>
          <w:lang w:eastAsia="lt-LT"/>
        </w:rPr>
        <w:t>.</w:t>
      </w:r>
      <w:r w:rsidR="00EA1C90">
        <w:rPr>
          <w:rFonts w:ascii="Times New Roman" w:eastAsia="Times New Roman" w:hAnsi="Times New Roman"/>
          <w:sz w:val="24"/>
          <w:szCs w:val="24"/>
          <w:lang w:eastAsia="lt-LT"/>
        </w:rPr>
        <w:t>3</w:t>
      </w:r>
      <w:r w:rsidRPr="000612E5">
        <w:rPr>
          <w:rFonts w:ascii="Times New Roman" w:eastAsia="Times New Roman" w:hAnsi="Times New Roman"/>
          <w:sz w:val="24"/>
          <w:szCs w:val="24"/>
          <w:lang w:eastAsia="lt-LT"/>
        </w:rPr>
        <w:t xml:space="preserve">. </w:t>
      </w:r>
      <w:r w:rsidRPr="00AD794E">
        <w:rPr>
          <w:rFonts w:ascii="Times New Roman" w:eastAsia="Times New Roman" w:hAnsi="Times New Roman"/>
          <w:sz w:val="24"/>
          <w:szCs w:val="24"/>
          <w:u w:val="single"/>
          <w:lang w:eastAsia="lt-LT"/>
        </w:rPr>
        <w:t>Renginio fotografavimo paslaugų kainodara</w:t>
      </w:r>
      <w:r w:rsidRPr="000612E5">
        <w:rPr>
          <w:rFonts w:ascii="Times New Roman" w:eastAsia="Times New Roman" w:hAnsi="Times New Roman"/>
          <w:sz w:val="24"/>
          <w:szCs w:val="24"/>
          <w:lang w:eastAsia="lt-LT"/>
        </w:rPr>
        <w:t>: renginio fotografavimo paslaugoms taikomas kainos apskaičiavimo būdas – fiksuotas įkainis.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XI. RENGINIO DALYVIŲ APGYVENDINIMO PASLAUGOS</w:t>
      </w: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1</w:t>
      </w:r>
      <w:r w:rsidRPr="000612E5">
        <w:rPr>
          <w:rFonts w:ascii="Times New Roman" w:eastAsia="Times New Roman" w:hAnsi="Times New Roman"/>
          <w:sz w:val="24"/>
          <w:szCs w:val="24"/>
          <w:lang w:eastAsia="lt-LT"/>
        </w:rPr>
        <w:t xml:space="preserve">.1. </w:t>
      </w:r>
      <w:r w:rsidR="00843793">
        <w:rPr>
          <w:rFonts w:ascii="Times New Roman" w:eastAsia="Times New Roman" w:hAnsi="Times New Roman"/>
          <w:sz w:val="24"/>
          <w:szCs w:val="24"/>
          <w:lang w:eastAsia="lt-LT"/>
        </w:rPr>
        <w:t>Vidutinio</w:t>
      </w:r>
      <w:r w:rsidRPr="000612E5">
        <w:rPr>
          <w:rFonts w:ascii="Times New Roman" w:eastAsia="Times New Roman" w:hAnsi="Times New Roman"/>
          <w:sz w:val="24"/>
          <w:szCs w:val="24"/>
          <w:lang w:eastAsia="lt-LT"/>
        </w:rPr>
        <w:t xml:space="preserve"> lygio renginių dalyviai </w:t>
      </w:r>
      <w:r w:rsidR="0033144D">
        <w:rPr>
          <w:rFonts w:ascii="Times New Roman" w:eastAsia="Times New Roman" w:hAnsi="Times New Roman"/>
          <w:sz w:val="24"/>
          <w:szCs w:val="24"/>
          <w:lang w:eastAsia="lt-LT"/>
        </w:rPr>
        <w:t xml:space="preserve">turi būti </w:t>
      </w:r>
      <w:r w:rsidR="0033144D" w:rsidRPr="0033144D">
        <w:rPr>
          <w:rFonts w:ascii="Times New Roman" w:eastAsia="Times New Roman" w:hAnsi="Times New Roman"/>
          <w:sz w:val="24"/>
          <w:szCs w:val="24"/>
          <w:lang w:eastAsia="lt-LT"/>
        </w:rPr>
        <w:t xml:space="preserve">apgyvendinti </w:t>
      </w:r>
      <w:r w:rsidR="0033144D">
        <w:rPr>
          <w:rFonts w:ascii="Times New Roman" w:eastAsia="Times New Roman" w:hAnsi="Times New Roman"/>
          <w:sz w:val="24"/>
          <w:szCs w:val="24"/>
          <w:lang w:eastAsia="lt-LT"/>
        </w:rPr>
        <w:t>3</w:t>
      </w:r>
      <w:r w:rsidR="0033144D" w:rsidRPr="0033144D">
        <w:rPr>
          <w:rFonts w:ascii="Times New Roman" w:eastAsia="Times New Roman" w:hAnsi="Times New Roman"/>
          <w:sz w:val="24"/>
          <w:szCs w:val="24"/>
          <w:lang w:eastAsia="lt-LT"/>
        </w:rPr>
        <w:t xml:space="preserve"> žvaigždučių</w:t>
      </w:r>
      <w:r w:rsidR="0033144D">
        <w:rPr>
          <w:rFonts w:ascii="Times New Roman" w:eastAsia="Times New Roman" w:hAnsi="Times New Roman"/>
          <w:sz w:val="24"/>
          <w:szCs w:val="24"/>
          <w:lang w:eastAsia="lt-LT"/>
        </w:rPr>
        <w:t xml:space="preserve">, 4 </w:t>
      </w:r>
      <w:r w:rsidR="0033144D" w:rsidRPr="0033144D">
        <w:rPr>
          <w:rFonts w:ascii="Times New Roman" w:eastAsia="Times New Roman" w:hAnsi="Times New Roman"/>
          <w:sz w:val="24"/>
          <w:szCs w:val="24"/>
          <w:lang w:eastAsia="lt-LT"/>
        </w:rPr>
        <w:t>žvaigždučių</w:t>
      </w:r>
      <w:r w:rsidR="0033144D">
        <w:rPr>
          <w:rFonts w:ascii="Times New Roman" w:eastAsia="Times New Roman" w:hAnsi="Times New Roman"/>
          <w:sz w:val="24"/>
          <w:szCs w:val="24"/>
          <w:lang w:eastAsia="lt-LT"/>
        </w:rPr>
        <w:t xml:space="preserve"> </w:t>
      </w:r>
      <w:r w:rsidR="0033144D" w:rsidRPr="0033144D">
        <w:rPr>
          <w:rFonts w:ascii="Times New Roman" w:eastAsia="Times New Roman" w:hAnsi="Times New Roman"/>
          <w:sz w:val="24"/>
          <w:szCs w:val="24"/>
          <w:lang w:eastAsia="lt-LT"/>
        </w:rPr>
        <w:t xml:space="preserve">kategorijos viešbučiuose pagal </w:t>
      </w:r>
      <w:r w:rsidR="00B16427" w:rsidRPr="00B16427">
        <w:rPr>
          <w:rFonts w:ascii="Times New Roman" w:eastAsia="Times New Roman" w:hAnsi="Times New Roman"/>
          <w:sz w:val="24"/>
          <w:szCs w:val="24"/>
          <w:lang w:eastAsia="lt-LT"/>
        </w:rPr>
        <w:t>Valstybinio turizmo departamento prie Lietuvos Respublikos ekonomikos ir inovacijų ministerijos direktoriaus 2018 m. rugpjūčio 10 d. įsakymą Nr. V-137 „Dėl viešbučių, motelių klasifikavimo reikalavimų patvirtinimo“ (aktuali redakcija)</w:t>
      </w:r>
      <w:r w:rsidR="0033144D">
        <w:rPr>
          <w:rFonts w:ascii="Times New Roman" w:eastAsia="Times New Roman" w:hAnsi="Times New Roman"/>
          <w:sz w:val="24"/>
          <w:szCs w:val="24"/>
          <w:lang w:eastAsia="lt-LT"/>
        </w:rPr>
        <w:t xml:space="preserve"> </w:t>
      </w:r>
      <w:r w:rsidRPr="000612E5">
        <w:rPr>
          <w:rFonts w:ascii="Times New Roman" w:eastAsia="Times New Roman" w:hAnsi="Times New Roman"/>
          <w:sz w:val="24"/>
          <w:szCs w:val="24"/>
          <w:lang w:eastAsia="lt-LT"/>
        </w:rPr>
        <w:t xml:space="preserve">arba </w:t>
      </w:r>
      <w:r w:rsidR="00843793">
        <w:rPr>
          <w:rFonts w:ascii="Times New Roman" w:eastAsia="Times New Roman" w:hAnsi="Times New Roman"/>
          <w:sz w:val="24"/>
          <w:szCs w:val="24"/>
          <w:lang w:eastAsia="lt-LT"/>
        </w:rPr>
        <w:t>3</w:t>
      </w:r>
      <w:r w:rsidRPr="000612E5">
        <w:rPr>
          <w:rFonts w:ascii="Times New Roman" w:eastAsia="Times New Roman" w:hAnsi="Times New Roman"/>
          <w:sz w:val="24"/>
          <w:szCs w:val="24"/>
          <w:lang w:eastAsia="lt-LT"/>
        </w:rPr>
        <w:t xml:space="preserve"> žvaigždučių</w:t>
      </w:r>
      <w:r w:rsidR="0033144D">
        <w:rPr>
          <w:rFonts w:ascii="Times New Roman" w:eastAsia="Times New Roman" w:hAnsi="Times New Roman"/>
          <w:sz w:val="24"/>
          <w:szCs w:val="24"/>
          <w:lang w:eastAsia="lt-LT"/>
        </w:rPr>
        <w:t xml:space="preserve">, </w:t>
      </w:r>
      <w:r w:rsidR="0033144D" w:rsidRPr="0033144D">
        <w:rPr>
          <w:rFonts w:ascii="Times New Roman" w:eastAsia="Times New Roman" w:hAnsi="Times New Roman"/>
          <w:sz w:val="24"/>
          <w:szCs w:val="24"/>
          <w:lang w:eastAsia="lt-LT"/>
        </w:rPr>
        <w:t>4 žvaigždučių</w:t>
      </w:r>
      <w:r w:rsidRPr="000612E5">
        <w:rPr>
          <w:rFonts w:ascii="Times New Roman" w:eastAsia="Times New Roman" w:hAnsi="Times New Roman"/>
          <w:sz w:val="24"/>
          <w:szCs w:val="24"/>
          <w:lang w:eastAsia="lt-LT"/>
        </w:rPr>
        <w:t xml:space="preserve"> lygį atitinkančios</w:t>
      </w:r>
      <w:r w:rsidR="0033144D">
        <w:rPr>
          <w:rFonts w:ascii="Times New Roman" w:eastAsia="Times New Roman" w:hAnsi="Times New Roman"/>
          <w:sz w:val="24"/>
          <w:szCs w:val="24"/>
          <w:lang w:eastAsia="lt-LT"/>
        </w:rPr>
        <w:t>e</w:t>
      </w:r>
      <w:r w:rsidRPr="000612E5">
        <w:rPr>
          <w:rFonts w:ascii="Times New Roman" w:eastAsia="Times New Roman" w:hAnsi="Times New Roman"/>
          <w:sz w:val="24"/>
          <w:szCs w:val="24"/>
          <w:lang w:eastAsia="lt-LT"/>
        </w:rPr>
        <w:t xml:space="preserve"> apgyvendinimo įstaigose</w:t>
      </w:r>
      <w:r w:rsidR="006F11DA">
        <w:rPr>
          <w:rFonts w:ascii="Times New Roman" w:eastAsia="Times New Roman" w:hAnsi="Times New Roman"/>
          <w:sz w:val="24"/>
          <w:szCs w:val="24"/>
          <w:lang w:eastAsia="lt-LT"/>
        </w:rPr>
        <w:t xml:space="preserve">. </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1</w:t>
      </w:r>
      <w:r w:rsidRPr="000612E5">
        <w:rPr>
          <w:rFonts w:ascii="Times New Roman" w:eastAsia="Times New Roman" w:hAnsi="Times New Roman"/>
          <w:sz w:val="24"/>
          <w:szCs w:val="24"/>
          <w:lang w:eastAsia="lt-LT"/>
        </w:rPr>
        <w:t>.2. Jeigu įmanoma, paslaugų teikėjas turi apgyvendinti renginio dalyvius toje pačioje vietoje, kurioje vyksta renginys;</w:t>
      </w:r>
    </w:p>
    <w:p w:rsidR="000612E5" w:rsidRPr="0053123A"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53123A">
        <w:rPr>
          <w:rFonts w:ascii="Times New Roman" w:eastAsia="Times New Roman" w:hAnsi="Times New Roman"/>
          <w:color w:val="000000" w:themeColor="text1"/>
          <w:sz w:val="24"/>
          <w:szCs w:val="24"/>
          <w:lang w:eastAsia="lt-LT"/>
        </w:rPr>
        <w:t>1</w:t>
      </w:r>
      <w:r w:rsidR="00FB4934" w:rsidRPr="0053123A">
        <w:rPr>
          <w:rFonts w:ascii="Times New Roman" w:eastAsia="Times New Roman" w:hAnsi="Times New Roman"/>
          <w:color w:val="000000" w:themeColor="text1"/>
          <w:sz w:val="24"/>
          <w:szCs w:val="24"/>
          <w:lang w:eastAsia="lt-LT"/>
        </w:rPr>
        <w:t>1</w:t>
      </w:r>
      <w:r w:rsidRPr="0053123A">
        <w:rPr>
          <w:rFonts w:ascii="Times New Roman" w:eastAsia="Times New Roman" w:hAnsi="Times New Roman"/>
          <w:color w:val="000000" w:themeColor="text1"/>
          <w:sz w:val="24"/>
          <w:szCs w:val="24"/>
          <w:lang w:eastAsia="lt-LT"/>
        </w:rPr>
        <w:t>.3. Turi būti užtikrinta galimybė renginio dalyviams patiems išsipirkti kambarius, kuriuos iš anksto užsakė perkančioji organizacija;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1</w:t>
      </w:r>
      <w:r w:rsidRPr="000612E5">
        <w:rPr>
          <w:rFonts w:ascii="Times New Roman" w:eastAsia="Times New Roman" w:hAnsi="Times New Roman"/>
          <w:sz w:val="24"/>
          <w:szCs w:val="24"/>
          <w:lang w:eastAsia="lt-LT"/>
        </w:rPr>
        <w:t>.4. Turi būti užtikrinta galimybė perkančiajai organizacijai viešbučio kambarius tik užsakyti, negarantuojant, kad visi užsakyti ir paslaugų teikėjo rezervuoti kambariai bus patvirtinti ir išpirkti perkančiosios organizacijos ar renginio dalyvių;</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1</w:t>
      </w:r>
      <w:r w:rsidRPr="000612E5">
        <w:rPr>
          <w:rFonts w:ascii="Times New Roman" w:eastAsia="Times New Roman" w:hAnsi="Times New Roman"/>
          <w:sz w:val="24"/>
          <w:szCs w:val="24"/>
          <w:lang w:eastAsia="lt-LT"/>
        </w:rPr>
        <w:t>.5. Be papildomų mokesčių perkančiajai organizacijai el. paštu turi būti pateiktas patvirtinimas, kad atlikta ir patvirtinta viešbučio kambarių rezervacija;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1</w:t>
      </w:r>
      <w:r w:rsidRPr="000612E5">
        <w:rPr>
          <w:rFonts w:ascii="Times New Roman" w:eastAsia="Times New Roman" w:hAnsi="Times New Roman"/>
          <w:sz w:val="24"/>
          <w:szCs w:val="24"/>
          <w:lang w:eastAsia="lt-LT"/>
        </w:rPr>
        <w:t>.6. Pasibaigus rezervavimo terminui, tačiau svečiui, už kurio apgyvendinimą apmoka perkančioji organizacija, neapsigyvenus, turi būti panaikinta viešbučio kambarių rezervacija. Tokiu atveju paslaugų teikėjas turi teisę reikalauti, kad perkančioji organizacija apmokėtų iš anksto suderintą rezervacijos atšaukimo mokestį. Atšaukimo mokestis negali būti didesnis, nei pasiūlyme numatyta viešbučio kaina už pirmąją parą;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1</w:t>
      </w:r>
      <w:r w:rsidRPr="000612E5">
        <w:rPr>
          <w:rFonts w:ascii="Times New Roman" w:eastAsia="Times New Roman" w:hAnsi="Times New Roman"/>
          <w:sz w:val="24"/>
          <w:szCs w:val="24"/>
          <w:lang w:eastAsia="lt-LT"/>
        </w:rPr>
        <w:t>.7. Pasibaigus viešbučio kambarių rezervavimo terminui, tačiau svečiui neapsigyvenus, paslaugų teikėjas turi teisę iš asmens arba jį delegavusios institucijos išskaičiuoti rezervacijos atšaukimo mokestį, kuris iš anksto yra suderintas su perkančiąja organizacija ir svečiu. Rezervacijos atšaukimo mokestis negali būti didesnis, nei pasiūlyme numatyta viešbučio kaina už pirmąją parą;</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1</w:t>
      </w:r>
      <w:r w:rsidRPr="000612E5">
        <w:rPr>
          <w:rFonts w:ascii="Times New Roman" w:eastAsia="Times New Roman" w:hAnsi="Times New Roman"/>
          <w:sz w:val="24"/>
          <w:szCs w:val="24"/>
          <w:lang w:eastAsia="lt-LT"/>
        </w:rPr>
        <w:t xml:space="preserve">.8. </w:t>
      </w:r>
      <w:r w:rsidRPr="00AD794E">
        <w:rPr>
          <w:rFonts w:ascii="Times New Roman" w:eastAsia="Times New Roman" w:hAnsi="Times New Roman"/>
          <w:sz w:val="24"/>
          <w:szCs w:val="24"/>
          <w:u w:val="single"/>
          <w:lang w:eastAsia="lt-LT"/>
        </w:rPr>
        <w:t>Renginio dalyvių apgyvendinimo paslaugų kainodara</w:t>
      </w:r>
      <w:r w:rsidRPr="000612E5">
        <w:rPr>
          <w:rFonts w:ascii="Times New Roman" w:eastAsia="Times New Roman" w:hAnsi="Times New Roman"/>
          <w:sz w:val="24"/>
          <w:szCs w:val="24"/>
          <w:lang w:eastAsia="lt-LT"/>
        </w:rPr>
        <w:t xml:space="preserve">: </w:t>
      </w:r>
      <w:r w:rsidR="003B7A65">
        <w:rPr>
          <w:rFonts w:ascii="Times New Roman" w:eastAsia="Times New Roman" w:hAnsi="Times New Roman"/>
          <w:sz w:val="24"/>
          <w:szCs w:val="24"/>
          <w:lang w:eastAsia="lt-LT"/>
        </w:rPr>
        <w:t>r</w:t>
      </w:r>
      <w:r w:rsidR="003B7A65" w:rsidRPr="003B7A65">
        <w:rPr>
          <w:rFonts w:ascii="Times New Roman" w:eastAsia="Times New Roman" w:hAnsi="Times New Roman"/>
          <w:sz w:val="24"/>
          <w:szCs w:val="24"/>
          <w:lang w:eastAsia="lt-LT"/>
        </w:rPr>
        <w:t>enginio dalyvių apgyvendinimo paslaugoms taikomas kainos apskaičiavimo būdas – fiksuotas įkainis</w:t>
      </w:r>
      <w:r w:rsidRPr="000612E5">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XII. RENGINIAMS SKIRTOS KANCELIARINĖS PRIEMONĖS</w:t>
      </w:r>
    </w:p>
    <w:p w:rsidR="00F81259" w:rsidRDefault="00F81259"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416DC1">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2</w:t>
      </w:r>
      <w:r w:rsidRPr="00416DC1">
        <w:rPr>
          <w:rFonts w:ascii="Times New Roman" w:eastAsia="Times New Roman" w:hAnsi="Times New Roman"/>
          <w:color w:val="000000" w:themeColor="text1"/>
          <w:sz w:val="24"/>
          <w:szCs w:val="24"/>
          <w:lang w:eastAsia="lt-LT"/>
        </w:rPr>
        <w:t>.1. Paslaugų teikėjas, atsižvelgdamas į renginio specifiką ir perkančios organizacijos pageidavimus, įsipareigoja parengti, pagaminti ir/ar aprūpinti renginiams reikalingomis priemonėmis</w:t>
      </w:r>
      <w:r>
        <w:rPr>
          <w:rFonts w:ascii="Times New Roman" w:eastAsia="Times New Roman" w:hAnsi="Times New Roman"/>
          <w:color w:val="000000" w:themeColor="text1"/>
          <w:sz w:val="24"/>
          <w:szCs w:val="24"/>
          <w:lang w:eastAsia="lt-LT"/>
        </w:rPr>
        <w:t>:</w:t>
      </w: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12.1.1. spalvota renginio dalomoji (popierinė) medžiaga (</w:t>
      </w:r>
      <w:r w:rsidRPr="005C4744">
        <w:rPr>
          <w:rFonts w:ascii="Times New Roman" w:eastAsia="Times New Roman" w:hAnsi="Times New Roman"/>
          <w:color w:val="000000" w:themeColor="text1"/>
          <w:sz w:val="24"/>
          <w:szCs w:val="24"/>
          <w:lang w:eastAsia="lt-LT"/>
        </w:rPr>
        <w:t>popieriaus</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g</w:t>
      </w:r>
      <w:r>
        <w:rPr>
          <w:rFonts w:ascii="Times New Roman" w:eastAsia="Times New Roman" w:hAnsi="Times New Roman"/>
          <w:color w:val="000000" w:themeColor="text1"/>
          <w:sz w:val="24"/>
          <w:szCs w:val="24"/>
          <w:lang w:eastAsia="lt-LT"/>
        </w:rPr>
        <w:t>ramatū</w:t>
      </w:r>
      <w:r w:rsidRPr="005C4744">
        <w:rPr>
          <w:rFonts w:ascii="Times New Roman" w:eastAsia="Times New Roman" w:hAnsi="Times New Roman"/>
          <w:color w:val="000000" w:themeColor="text1"/>
          <w:sz w:val="24"/>
          <w:szCs w:val="24"/>
          <w:lang w:eastAsia="lt-LT"/>
        </w:rPr>
        <w:t>ra</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 ne ma</w:t>
      </w:r>
      <w:r>
        <w:rPr>
          <w:rFonts w:ascii="Times New Roman" w:eastAsia="Times New Roman" w:hAnsi="Times New Roman"/>
          <w:color w:val="000000" w:themeColor="text1"/>
          <w:sz w:val="24"/>
          <w:szCs w:val="24"/>
          <w:lang w:eastAsia="lt-LT"/>
        </w:rPr>
        <w:t>ž</w:t>
      </w:r>
      <w:r w:rsidRPr="005C4744">
        <w:rPr>
          <w:rFonts w:ascii="Times New Roman" w:eastAsia="Times New Roman" w:hAnsi="Times New Roman"/>
          <w:color w:val="000000" w:themeColor="text1"/>
          <w:sz w:val="24"/>
          <w:szCs w:val="24"/>
          <w:lang w:eastAsia="lt-LT"/>
        </w:rPr>
        <w:t>iau</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kaip 80g/m</w:t>
      </w:r>
      <w:r>
        <w:rPr>
          <w:rFonts w:ascii="Times New Roman" w:eastAsia="Times New Roman" w:hAnsi="Times New Roman"/>
          <w:color w:val="000000" w:themeColor="text1"/>
          <w:sz w:val="24"/>
          <w:szCs w:val="24"/>
          <w:vertAlign w:val="superscript"/>
          <w:lang w:eastAsia="lt-LT"/>
        </w:rPr>
        <w:t>2</w:t>
      </w:r>
      <w:r w:rsidRPr="005C4744">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dvipusis</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spausdinima</w:t>
      </w:r>
      <w:r>
        <w:rPr>
          <w:rFonts w:ascii="Times New Roman" w:eastAsia="Times New Roman" w:hAnsi="Times New Roman"/>
          <w:color w:val="000000" w:themeColor="text1"/>
          <w:sz w:val="24"/>
          <w:szCs w:val="24"/>
          <w:lang w:eastAsia="lt-LT"/>
        </w:rPr>
        <w:t>s/</w:t>
      </w:r>
      <w:r w:rsidRPr="005C4744">
        <w:rPr>
          <w:rFonts w:ascii="Times New Roman" w:eastAsia="Times New Roman" w:hAnsi="Times New Roman"/>
          <w:color w:val="000000" w:themeColor="text1"/>
          <w:sz w:val="24"/>
          <w:szCs w:val="24"/>
          <w:lang w:eastAsia="lt-LT"/>
        </w:rPr>
        <w:t>kopijavi</w:t>
      </w:r>
      <w:r>
        <w:rPr>
          <w:rFonts w:ascii="Times New Roman" w:eastAsia="Times New Roman" w:hAnsi="Times New Roman"/>
          <w:color w:val="000000" w:themeColor="text1"/>
          <w:sz w:val="24"/>
          <w:szCs w:val="24"/>
          <w:lang w:eastAsia="lt-LT"/>
        </w:rPr>
        <w:t xml:space="preserve">mas, </w:t>
      </w:r>
      <w:r w:rsidRPr="005C4744">
        <w:rPr>
          <w:rFonts w:ascii="Times New Roman" w:eastAsia="Times New Roman" w:hAnsi="Times New Roman"/>
          <w:color w:val="000000" w:themeColor="text1"/>
          <w:sz w:val="24"/>
          <w:szCs w:val="24"/>
          <w:lang w:eastAsia="lt-LT"/>
        </w:rPr>
        <w:t>sukomplek</w:t>
      </w:r>
      <w:r>
        <w:rPr>
          <w:rFonts w:ascii="Times New Roman" w:eastAsia="Times New Roman" w:hAnsi="Times New Roman"/>
          <w:color w:val="000000" w:themeColor="text1"/>
          <w:sz w:val="24"/>
          <w:szCs w:val="24"/>
          <w:lang w:eastAsia="lt-LT"/>
        </w:rPr>
        <w:t>t</w:t>
      </w:r>
      <w:r w:rsidRPr="005C4744">
        <w:rPr>
          <w:rFonts w:ascii="Times New Roman" w:eastAsia="Times New Roman" w:hAnsi="Times New Roman"/>
          <w:color w:val="000000" w:themeColor="text1"/>
          <w:sz w:val="24"/>
          <w:szCs w:val="24"/>
          <w:lang w:eastAsia="lt-LT"/>
        </w:rPr>
        <w:t>avimas,</w:t>
      </w:r>
      <w:r>
        <w:rPr>
          <w:rFonts w:ascii="Times New Roman" w:eastAsia="Times New Roman" w:hAnsi="Times New Roman"/>
          <w:color w:val="000000" w:themeColor="text1"/>
          <w:sz w:val="24"/>
          <w:szCs w:val="24"/>
          <w:lang w:eastAsia="lt-LT"/>
        </w:rPr>
        <w:t xml:space="preserve"> </w:t>
      </w:r>
      <w:r w:rsidRPr="005C4744">
        <w:rPr>
          <w:rFonts w:ascii="Times New Roman" w:eastAsia="Times New Roman" w:hAnsi="Times New Roman"/>
          <w:color w:val="000000" w:themeColor="text1"/>
          <w:sz w:val="24"/>
          <w:szCs w:val="24"/>
          <w:lang w:eastAsia="lt-LT"/>
        </w:rPr>
        <w:t>pateikimas</w:t>
      </w:r>
      <w:r>
        <w:rPr>
          <w:rFonts w:ascii="Times New Roman" w:eastAsia="Times New Roman" w:hAnsi="Times New Roman"/>
          <w:color w:val="000000" w:themeColor="text1"/>
          <w:sz w:val="24"/>
          <w:szCs w:val="24"/>
          <w:lang w:eastAsia="lt-LT"/>
        </w:rPr>
        <w:t xml:space="preserve"> renginio dalyviams);</w:t>
      </w: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12.1.2. nespalvota </w:t>
      </w:r>
      <w:r w:rsidRPr="005C4744">
        <w:rPr>
          <w:rFonts w:ascii="Times New Roman" w:eastAsia="Times New Roman" w:hAnsi="Times New Roman"/>
          <w:color w:val="000000" w:themeColor="text1"/>
          <w:sz w:val="24"/>
          <w:szCs w:val="24"/>
          <w:lang w:eastAsia="lt-LT"/>
        </w:rPr>
        <w:t>renginio dalomoji (popierinė) medžiaga</w:t>
      </w:r>
      <w:r>
        <w:rPr>
          <w:rFonts w:ascii="Times New Roman" w:eastAsia="Times New Roman" w:hAnsi="Times New Roman"/>
          <w:color w:val="000000" w:themeColor="text1"/>
          <w:sz w:val="24"/>
          <w:szCs w:val="24"/>
          <w:lang w:eastAsia="lt-LT"/>
        </w:rPr>
        <w:t xml:space="preserve"> </w:t>
      </w:r>
      <w:r w:rsidRPr="003661C4">
        <w:rPr>
          <w:rFonts w:ascii="Times New Roman" w:eastAsia="Times New Roman" w:hAnsi="Times New Roman"/>
          <w:color w:val="000000" w:themeColor="text1"/>
          <w:sz w:val="24"/>
          <w:szCs w:val="24"/>
          <w:lang w:eastAsia="lt-LT"/>
        </w:rPr>
        <w:t>(popieriaus gramatūra - ne mažiau kaip 80g/m2, dvipusis spausdinimas/kopijavimas, sukomplektavimas, pateikimas renginio dalyviams);</w:t>
      </w: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12.1.3. renginiui reikalinga dalomoji medžiaga USB laikmenoje (ne mažiau kaip 4 GB, rašymas, pateikimas renginio dalyviams)</w:t>
      </w: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12.1.4. B</w:t>
      </w:r>
      <w:r w:rsidRPr="00416DC1">
        <w:rPr>
          <w:rFonts w:ascii="Times New Roman" w:eastAsia="Times New Roman" w:hAnsi="Times New Roman"/>
          <w:color w:val="000000" w:themeColor="text1"/>
          <w:sz w:val="24"/>
          <w:szCs w:val="24"/>
          <w:lang w:eastAsia="lt-LT"/>
        </w:rPr>
        <w:t>loknotas</w:t>
      </w:r>
      <w:r>
        <w:rPr>
          <w:rFonts w:ascii="Times New Roman" w:eastAsia="Times New Roman" w:hAnsi="Times New Roman"/>
          <w:color w:val="000000" w:themeColor="text1"/>
          <w:sz w:val="24"/>
          <w:szCs w:val="24"/>
          <w:lang w:eastAsia="lt-LT"/>
        </w:rPr>
        <w:t xml:space="preserve"> (</w:t>
      </w:r>
      <w:r w:rsidR="002B2915">
        <w:rPr>
          <w:rFonts w:ascii="Times New Roman" w:eastAsia="Times New Roman" w:hAnsi="Times New Roman"/>
          <w:color w:val="000000" w:themeColor="text1"/>
          <w:sz w:val="24"/>
          <w:szCs w:val="24"/>
          <w:lang w:eastAsia="lt-LT"/>
        </w:rPr>
        <w:t>5</w:t>
      </w:r>
      <w:r>
        <w:rPr>
          <w:rFonts w:ascii="Times New Roman" w:eastAsia="Times New Roman" w:hAnsi="Times New Roman"/>
          <w:color w:val="000000" w:themeColor="text1"/>
          <w:sz w:val="24"/>
          <w:szCs w:val="24"/>
          <w:lang w:eastAsia="lt-LT"/>
        </w:rPr>
        <w:t>A formato, ne mažiau kaip 10 lapų);</w:t>
      </w: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12.1.5. Rašiklis;</w:t>
      </w:r>
    </w:p>
    <w:p w:rsidR="0059669D" w:rsidRDefault="0059669D"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12.1.6. Žymeklis</w:t>
      </w:r>
      <w:r w:rsidR="008A3562">
        <w:rPr>
          <w:rFonts w:ascii="Times New Roman" w:eastAsia="Times New Roman" w:hAnsi="Times New Roman"/>
          <w:color w:val="000000" w:themeColor="text1"/>
          <w:sz w:val="24"/>
          <w:szCs w:val="24"/>
          <w:lang w:eastAsia="lt-LT"/>
        </w:rPr>
        <w:t xml:space="preserve"> (skirtas rašyti ant konferencinės lentos bloknoto)</w:t>
      </w:r>
      <w:r>
        <w:rPr>
          <w:rFonts w:ascii="Times New Roman" w:eastAsia="Times New Roman" w:hAnsi="Times New Roman"/>
          <w:color w:val="000000" w:themeColor="text1"/>
          <w:sz w:val="24"/>
          <w:szCs w:val="24"/>
          <w:lang w:eastAsia="lt-LT"/>
        </w:rPr>
        <w:t>;</w:t>
      </w: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12.1.</w:t>
      </w:r>
      <w:r w:rsidR="0059669D">
        <w:rPr>
          <w:rFonts w:ascii="Times New Roman" w:eastAsia="Times New Roman" w:hAnsi="Times New Roman"/>
          <w:color w:val="000000" w:themeColor="text1"/>
          <w:sz w:val="24"/>
          <w:szCs w:val="24"/>
          <w:lang w:eastAsia="lt-LT"/>
        </w:rPr>
        <w:t>7</w:t>
      </w:r>
      <w:r>
        <w:rPr>
          <w:rFonts w:ascii="Times New Roman" w:eastAsia="Times New Roman" w:hAnsi="Times New Roman"/>
          <w:color w:val="000000" w:themeColor="text1"/>
          <w:sz w:val="24"/>
          <w:szCs w:val="24"/>
          <w:lang w:eastAsia="lt-LT"/>
        </w:rPr>
        <w:t>. Dokumentų dėklas (popierinis);</w:t>
      </w: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12.1.</w:t>
      </w:r>
      <w:r w:rsidR="0059669D">
        <w:rPr>
          <w:rFonts w:ascii="Times New Roman" w:eastAsia="Times New Roman" w:hAnsi="Times New Roman"/>
          <w:color w:val="000000" w:themeColor="text1"/>
          <w:sz w:val="24"/>
          <w:szCs w:val="24"/>
          <w:lang w:eastAsia="lt-LT"/>
        </w:rPr>
        <w:t>8</w:t>
      </w:r>
      <w:r>
        <w:rPr>
          <w:rFonts w:ascii="Times New Roman" w:eastAsia="Times New Roman" w:hAnsi="Times New Roman"/>
          <w:color w:val="000000" w:themeColor="text1"/>
          <w:sz w:val="24"/>
          <w:szCs w:val="24"/>
          <w:lang w:eastAsia="lt-LT"/>
        </w:rPr>
        <w:t xml:space="preserve">. Renginio dalyvio identifikacinė kortelė (pakabinama popierinė plastikiniame įdėkle); </w:t>
      </w:r>
    </w:p>
    <w:p w:rsidR="00EA1163"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12.1.</w:t>
      </w:r>
      <w:r w:rsidR="0059669D">
        <w:rPr>
          <w:rFonts w:ascii="Times New Roman" w:eastAsia="Times New Roman" w:hAnsi="Times New Roman"/>
          <w:color w:val="000000" w:themeColor="text1"/>
          <w:sz w:val="24"/>
          <w:szCs w:val="24"/>
          <w:lang w:eastAsia="lt-LT"/>
        </w:rPr>
        <w:t>9</w:t>
      </w:r>
      <w:r>
        <w:rPr>
          <w:rFonts w:ascii="Times New Roman" w:eastAsia="Times New Roman" w:hAnsi="Times New Roman"/>
          <w:color w:val="000000" w:themeColor="text1"/>
          <w:sz w:val="24"/>
          <w:szCs w:val="24"/>
          <w:lang w:eastAsia="lt-LT"/>
        </w:rPr>
        <w:t xml:space="preserve">. </w:t>
      </w:r>
      <w:r w:rsidRPr="003661C4">
        <w:rPr>
          <w:rFonts w:ascii="Times New Roman" w:eastAsia="Times New Roman" w:hAnsi="Times New Roman"/>
          <w:color w:val="000000" w:themeColor="text1"/>
          <w:sz w:val="24"/>
          <w:szCs w:val="24"/>
          <w:lang w:eastAsia="lt-LT"/>
        </w:rPr>
        <w:t xml:space="preserve">Renginio dalyvio </w:t>
      </w:r>
      <w:r>
        <w:rPr>
          <w:rFonts w:ascii="Times New Roman" w:eastAsia="Times New Roman" w:hAnsi="Times New Roman"/>
          <w:color w:val="000000" w:themeColor="text1"/>
          <w:sz w:val="24"/>
          <w:szCs w:val="24"/>
          <w:lang w:eastAsia="lt-LT"/>
        </w:rPr>
        <w:t xml:space="preserve">pastatoma </w:t>
      </w:r>
      <w:r w:rsidRPr="003661C4">
        <w:rPr>
          <w:rFonts w:ascii="Times New Roman" w:eastAsia="Times New Roman" w:hAnsi="Times New Roman"/>
          <w:color w:val="000000" w:themeColor="text1"/>
          <w:sz w:val="24"/>
          <w:szCs w:val="24"/>
          <w:lang w:eastAsia="lt-LT"/>
        </w:rPr>
        <w:t>identifikacinė kortelė</w:t>
      </w:r>
      <w:r w:rsidR="00C57F23">
        <w:rPr>
          <w:rFonts w:ascii="Times New Roman" w:eastAsia="Times New Roman" w:hAnsi="Times New Roman"/>
          <w:color w:val="000000" w:themeColor="text1"/>
          <w:sz w:val="24"/>
          <w:szCs w:val="24"/>
          <w:lang w:eastAsia="lt-LT"/>
        </w:rPr>
        <w:t xml:space="preserve"> (popierinė);</w:t>
      </w:r>
    </w:p>
    <w:p w:rsidR="00A40B70" w:rsidRDefault="00A40B70"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12.1.10. </w:t>
      </w:r>
      <w:r w:rsidRPr="00A40B70">
        <w:rPr>
          <w:rFonts w:ascii="Times New Roman" w:eastAsia="Times New Roman" w:hAnsi="Times New Roman"/>
          <w:color w:val="000000" w:themeColor="text1"/>
          <w:sz w:val="24"/>
          <w:szCs w:val="24"/>
          <w:lang w:eastAsia="lt-LT"/>
        </w:rPr>
        <w:t>Konferencijų stovas ir konferencinis bloknotas</w:t>
      </w:r>
      <w:r>
        <w:rPr>
          <w:rFonts w:ascii="Times New Roman" w:eastAsia="Times New Roman" w:hAnsi="Times New Roman"/>
          <w:color w:val="000000" w:themeColor="text1"/>
          <w:sz w:val="24"/>
          <w:szCs w:val="24"/>
          <w:lang w:eastAsia="lt-LT"/>
        </w:rPr>
        <w:t>.</w:t>
      </w:r>
    </w:p>
    <w:p w:rsidR="00EA1163" w:rsidRPr="00416DC1"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12.2. </w:t>
      </w:r>
      <w:r w:rsidRPr="00416DC1">
        <w:rPr>
          <w:rFonts w:ascii="Times New Roman" w:eastAsia="Times New Roman" w:hAnsi="Times New Roman"/>
          <w:color w:val="000000" w:themeColor="text1"/>
          <w:sz w:val="24"/>
          <w:szCs w:val="24"/>
          <w:lang w:eastAsia="lt-LT"/>
        </w:rPr>
        <w:t>Visos priemonės turi būti kokybiškos, atitinkančios tokioms priemonėms keliamus kokybės reikalavimus</w:t>
      </w:r>
      <w:r>
        <w:rPr>
          <w:rFonts w:ascii="Times New Roman" w:eastAsia="Times New Roman" w:hAnsi="Times New Roman"/>
          <w:color w:val="000000" w:themeColor="text1"/>
          <w:sz w:val="24"/>
          <w:szCs w:val="24"/>
          <w:lang w:eastAsia="lt-LT"/>
        </w:rPr>
        <w:t>;</w:t>
      </w:r>
    </w:p>
    <w:p w:rsidR="00EA1163" w:rsidRPr="00416DC1"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416DC1">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2</w:t>
      </w:r>
      <w:r w:rsidRPr="00416DC1">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3</w:t>
      </w:r>
      <w:r w:rsidRPr="00416DC1">
        <w:rPr>
          <w:rFonts w:ascii="Times New Roman" w:eastAsia="Times New Roman" w:hAnsi="Times New Roman"/>
          <w:color w:val="000000" w:themeColor="text1"/>
          <w:sz w:val="24"/>
          <w:szCs w:val="24"/>
          <w:lang w:eastAsia="lt-LT"/>
        </w:rPr>
        <w:t xml:space="preserve">. </w:t>
      </w:r>
      <w:r w:rsidRPr="00416DC1">
        <w:rPr>
          <w:rFonts w:ascii="Times New Roman" w:eastAsia="Times New Roman" w:hAnsi="Times New Roman"/>
          <w:color w:val="000000" w:themeColor="text1"/>
          <w:sz w:val="24"/>
          <w:szCs w:val="24"/>
          <w:u w:val="single"/>
          <w:lang w:eastAsia="lt-LT"/>
        </w:rPr>
        <w:t>Renginiams skirtų kanceliarinių priemonių įsigijimo kainodara</w:t>
      </w:r>
      <w:r w:rsidRPr="00416DC1">
        <w:rPr>
          <w:rFonts w:ascii="Times New Roman" w:eastAsia="Times New Roman" w:hAnsi="Times New Roman"/>
          <w:color w:val="000000" w:themeColor="text1"/>
          <w:sz w:val="24"/>
          <w:szCs w:val="24"/>
          <w:lang w:eastAsia="lt-LT"/>
        </w:rPr>
        <w:t>: kanceliarinių priemonių įsigijimui taikomas kainos apskaičiavimo būdas – fiksuotas įkainis.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XI</w:t>
      </w:r>
      <w:r w:rsidR="00FB4934">
        <w:rPr>
          <w:rFonts w:ascii="Times New Roman" w:eastAsia="Times New Roman" w:hAnsi="Times New Roman"/>
          <w:b/>
          <w:sz w:val="24"/>
          <w:szCs w:val="24"/>
          <w:lang w:eastAsia="lt-LT"/>
        </w:rPr>
        <w:t>II</w:t>
      </w:r>
      <w:r w:rsidRPr="000612E5">
        <w:rPr>
          <w:rFonts w:ascii="Times New Roman" w:eastAsia="Times New Roman" w:hAnsi="Times New Roman"/>
          <w:b/>
          <w:sz w:val="24"/>
          <w:szCs w:val="24"/>
          <w:lang w:eastAsia="lt-LT"/>
        </w:rPr>
        <w:t>. RENGINIO SOCIALINĖS KULTŪRINĖS PROGRAMOS ORGANIZAVIMO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3</w:t>
      </w:r>
      <w:r w:rsidRPr="000612E5">
        <w:rPr>
          <w:rFonts w:ascii="Times New Roman" w:eastAsia="Times New Roman" w:hAnsi="Times New Roman"/>
          <w:sz w:val="24"/>
          <w:szCs w:val="24"/>
          <w:lang w:eastAsia="lt-LT"/>
        </w:rPr>
        <w:t>.1. Pagal iš anksto su perkančiąja organizacija suderintą planą socialinė kultūrinė programa organizuojama Vilniuje ir kitose Lietuvos Respublikos vietose;</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3</w:t>
      </w:r>
      <w:r w:rsidRPr="000612E5">
        <w:rPr>
          <w:rFonts w:ascii="Times New Roman" w:eastAsia="Times New Roman" w:hAnsi="Times New Roman"/>
          <w:sz w:val="24"/>
          <w:szCs w:val="24"/>
          <w:lang w:eastAsia="lt-LT"/>
        </w:rPr>
        <w:t>.2. Socialinė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ES ir (ar) kitos tarptautinės finansinės paramos lėšomis finansuojamų projektų vietų lankymą ir kitas panašias paslaugas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3</w:t>
      </w:r>
      <w:r w:rsidRPr="000612E5">
        <w:rPr>
          <w:rFonts w:ascii="Times New Roman" w:eastAsia="Times New Roman" w:hAnsi="Times New Roman"/>
          <w:sz w:val="24"/>
          <w:szCs w:val="24"/>
          <w:lang w:eastAsia="lt-LT"/>
        </w:rPr>
        <w:t xml:space="preserve">.3. Paslaugų teikėjas privalo užtikrinti socialinei kultūrinei programai vykti reikalingą įrangą (įskaitant laikinų rūbinių, paviljonų, stendų įrengimą), baldus, aptarnavimą, renginio aptarnaujantį personalą ir kitas su tokio pobūdžio renginio organizavimu susijusias paslaugas. </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3</w:t>
      </w:r>
      <w:r w:rsidRPr="000612E5">
        <w:rPr>
          <w:rFonts w:ascii="Times New Roman" w:eastAsia="Times New Roman" w:hAnsi="Times New Roman"/>
          <w:sz w:val="24"/>
          <w:szCs w:val="24"/>
          <w:lang w:eastAsia="lt-LT"/>
        </w:rPr>
        <w:t xml:space="preserve">.4. </w:t>
      </w:r>
      <w:r w:rsidRPr="00AD794E">
        <w:rPr>
          <w:rFonts w:ascii="Times New Roman" w:eastAsia="Times New Roman" w:hAnsi="Times New Roman"/>
          <w:sz w:val="24"/>
          <w:szCs w:val="24"/>
          <w:u w:val="single"/>
          <w:lang w:eastAsia="lt-LT"/>
        </w:rPr>
        <w:t>Renginio socialinės kultūrinės programos organizavimo paslaugų kainodara</w:t>
      </w:r>
      <w:r w:rsidRPr="000612E5">
        <w:rPr>
          <w:rFonts w:ascii="Times New Roman" w:eastAsia="Times New Roman" w:hAnsi="Times New Roman"/>
          <w:sz w:val="24"/>
          <w:szCs w:val="24"/>
          <w:lang w:eastAsia="lt-LT"/>
        </w:rPr>
        <w:t>: renginio  socialinės kultūrinės programos organizavimo kainą sudaro Paslaugų teikėjo faktiškai patiriamos išlaidos, tiesiogiai susijusios su Sutarties vykdymu.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X</w:t>
      </w:r>
      <w:r w:rsidR="00FB4934">
        <w:rPr>
          <w:rFonts w:ascii="Times New Roman" w:eastAsia="Times New Roman" w:hAnsi="Times New Roman"/>
          <w:b/>
          <w:sz w:val="24"/>
          <w:szCs w:val="24"/>
          <w:lang w:eastAsia="lt-LT"/>
        </w:rPr>
        <w:t>I</w:t>
      </w:r>
      <w:r w:rsidRPr="000612E5">
        <w:rPr>
          <w:rFonts w:ascii="Times New Roman" w:eastAsia="Times New Roman" w:hAnsi="Times New Roman"/>
          <w:b/>
          <w:sz w:val="24"/>
          <w:szCs w:val="24"/>
          <w:lang w:eastAsia="lt-LT"/>
        </w:rPr>
        <w:t>V. RENGINIAMS REIKALINGŲ REKLAMINIŲ/VIEŠINIMO PRIEMONIŲ PARENGIMAS IR/AR GAMYBA.</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EA1163" w:rsidRPr="005134B4" w:rsidRDefault="00EA1163" w:rsidP="00EA116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.1.</w:t>
      </w:r>
      <w:r w:rsidRPr="005134B4">
        <w:rPr>
          <w:color w:val="000000" w:themeColor="text1"/>
        </w:rPr>
        <w:t xml:space="preserve"> </w:t>
      </w:r>
      <w:r w:rsidRPr="005134B4">
        <w:rPr>
          <w:rFonts w:ascii="Times New Roman" w:eastAsia="Times New Roman" w:hAnsi="Times New Roman"/>
          <w:color w:val="000000" w:themeColor="text1"/>
          <w:sz w:val="24"/>
          <w:szCs w:val="24"/>
          <w:lang w:eastAsia="lt-LT"/>
        </w:rPr>
        <w:t>Paslaugų teikėjas, atsižvelgdamas į renginio specifiką ir perkančios organizacijos pageidavimus, įsipareigoja parengti,</w:t>
      </w:r>
      <w:r>
        <w:rPr>
          <w:rFonts w:ascii="Times New Roman" w:eastAsia="Times New Roman" w:hAnsi="Times New Roman"/>
          <w:color w:val="000000" w:themeColor="text1"/>
          <w:sz w:val="24"/>
          <w:szCs w:val="24"/>
          <w:lang w:eastAsia="lt-LT"/>
        </w:rPr>
        <w:t xml:space="preserve"> sumaketuoti, pagaminti, sumontuoti r</w:t>
      </w:r>
      <w:r w:rsidRPr="005134B4">
        <w:rPr>
          <w:rFonts w:ascii="Times New Roman" w:eastAsia="Times New Roman" w:hAnsi="Times New Roman"/>
          <w:color w:val="000000" w:themeColor="text1"/>
          <w:sz w:val="24"/>
          <w:szCs w:val="24"/>
          <w:lang w:eastAsia="lt-LT"/>
        </w:rPr>
        <w:t>enginiams reikaling</w:t>
      </w:r>
      <w:r>
        <w:rPr>
          <w:rFonts w:ascii="Times New Roman" w:eastAsia="Times New Roman" w:hAnsi="Times New Roman"/>
          <w:color w:val="000000" w:themeColor="text1"/>
          <w:sz w:val="24"/>
          <w:szCs w:val="24"/>
          <w:lang w:eastAsia="lt-LT"/>
        </w:rPr>
        <w:t>as</w:t>
      </w:r>
      <w:r w:rsidRPr="005134B4">
        <w:rPr>
          <w:rFonts w:ascii="Times New Roman" w:eastAsia="Times New Roman" w:hAnsi="Times New Roman"/>
          <w:color w:val="000000" w:themeColor="text1"/>
          <w:sz w:val="24"/>
          <w:szCs w:val="24"/>
          <w:lang w:eastAsia="lt-LT"/>
        </w:rPr>
        <w:t xml:space="preserve"> reklamin</w:t>
      </w:r>
      <w:r>
        <w:rPr>
          <w:rFonts w:ascii="Times New Roman" w:eastAsia="Times New Roman" w:hAnsi="Times New Roman"/>
          <w:color w:val="000000" w:themeColor="text1"/>
          <w:sz w:val="24"/>
          <w:szCs w:val="24"/>
          <w:lang w:eastAsia="lt-LT"/>
        </w:rPr>
        <w:t>es</w:t>
      </w:r>
      <w:r w:rsidRPr="005134B4">
        <w:rPr>
          <w:rFonts w:ascii="Times New Roman" w:eastAsia="Times New Roman" w:hAnsi="Times New Roman"/>
          <w:color w:val="000000" w:themeColor="text1"/>
          <w:sz w:val="24"/>
          <w:szCs w:val="24"/>
          <w:lang w:eastAsia="lt-LT"/>
        </w:rPr>
        <w:t>/viešinimo priemon</w:t>
      </w:r>
      <w:r>
        <w:rPr>
          <w:rFonts w:ascii="Times New Roman" w:eastAsia="Times New Roman" w:hAnsi="Times New Roman"/>
          <w:color w:val="000000" w:themeColor="text1"/>
          <w:sz w:val="24"/>
          <w:szCs w:val="24"/>
          <w:lang w:eastAsia="lt-LT"/>
        </w:rPr>
        <w:t>es:</w:t>
      </w:r>
    </w:p>
    <w:p w:rsidR="00EA1163" w:rsidRPr="005134B4"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.1.1. foto sienos maketavimo, spaudos ir montavimo paslauga;</w:t>
      </w:r>
    </w:p>
    <w:p w:rsidR="00EA1163" w:rsidRPr="005134B4"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.1.2. informacinių stendų maketavimo, spaudos ir montavimo paslauga;</w:t>
      </w:r>
    </w:p>
    <w:p w:rsidR="00EA1163" w:rsidRPr="005134B4" w:rsidRDefault="00EA1163" w:rsidP="00EA116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.1.3. įvairūs suvenyrai renginio dalyviams.</w:t>
      </w:r>
    </w:p>
    <w:p w:rsidR="00EA1163" w:rsidRPr="005134B4" w:rsidRDefault="00EA1163" w:rsidP="00EA1163">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5134B4">
        <w:rPr>
          <w:rFonts w:ascii="Times New Roman" w:eastAsia="Times New Roman" w:hAnsi="Times New Roman"/>
          <w:color w:val="000000" w:themeColor="text1"/>
          <w:sz w:val="24"/>
          <w:szCs w:val="24"/>
          <w:lang w:eastAsia="lt-LT"/>
        </w:rPr>
        <w:t>1</w:t>
      </w:r>
      <w:r>
        <w:rPr>
          <w:rFonts w:ascii="Times New Roman" w:eastAsia="Times New Roman" w:hAnsi="Times New Roman"/>
          <w:color w:val="000000" w:themeColor="text1"/>
          <w:sz w:val="24"/>
          <w:szCs w:val="24"/>
          <w:lang w:eastAsia="lt-LT"/>
        </w:rPr>
        <w:t>4</w:t>
      </w:r>
      <w:r w:rsidRPr="005134B4">
        <w:rPr>
          <w:rFonts w:ascii="Times New Roman" w:eastAsia="Times New Roman" w:hAnsi="Times New Roman"/>
          <w:color w:val="000000" w:themeColor="text1"/>
          <w:sz w:val="24"/>
          <w:szCs w:val="24"/>
          <w:lang w:eastAsia="lt-LT"/>
        </w:rPr>
        <w:t xml:space="preserve">.2. </w:t>
      </w:r>
      <w:r w:rsidRPr="005134B4">
        <w:rPr>
          <w:rFonts w:ascii="Times New Roman" w:eastAsia="Times New Roman" w:hAnsi="Times New Roman"/>
          <w:color w:val="000000" w:themeColor="text1"/>
          <w:sz w:val="24"/>
          <w:szCs w:val="24"/>
          <w:u w:val="single"/>
          <w:lang w:eastAsia="lt-LT"/>
        </w:rPr>
        <w:t>Renginiams reikalingų reklaminių/viešinimo priemonių parengimo ir/ar gamybos kainodara:</w:t>
      </w:r>
      <w:r w:rsidRPr="005134B4">
        <w:rPr>
          <w:rFonts w:ascii="Times New Roman" w:eastAsia="Times New Roman" w:hAnsi="Times New Roman"/>
          <w:color w:val="000000" w:themeColor="text1"/>
          <w:sz w:val="24"/>
          <w:szCs w:val="24"/>
          <w:lang w:eastAsia="lt-LT"/>
        </w:rPr>
        <w:t xml:space="preserve"> </w:t>
      </w:r>
      <w:r w:rsidR="004E26FD">
        <w:rPr>
          <w:rFonts w:ascii="Times New Roman" w:eastAsia="Times New Roman" w:hAnsi="Times New Roman"/>
          <w:color w:val="000000" w:themeColor="text1"/>
          <w:sz w:val="24"/>
          <w:szCs w:val="24"/>
          <w:lang w:eastAsia="lt-LT"/>
        </w:rPr>
        <w:t>r</w:t>
      </w:r>
      <w:r w:rsidR="004E26FD" w:rsidRPr="004E26FD">
        <w:rPr>
          <w:rFonts w:ascii="Times New Roman" w:eastAsia="Times New Roman" w:hAnsi="Times New Roman"/>
          <w:color w:val="000000" w:themeColor="text1"/>
          <w:sz w:val="24"/>
          <w:szCs w:val="24"/>
          <w:lang w:eastAsia="lt-LT"/>
        </w:rPr>
        <w:t>enginiams reikalingų reklaminių/viešinimo priemonių parengimo ir/ar gamybos kainą sudaro Paslaugų teikėjo faktiškai patiriamos išlaidos, tiesiogiai susijusios su Sutarties vykdymu</w:t>
      </w:r>
      <w:r w:rsidRPr="005134B4">
        <w:rPr>
          <w:rFonts w:ascii="Times New Roman" w:eastAsia="Times New Roman" w:hAnsi="Times New Roman"/>
          <w:color w:val="000000" w:themeColor="text1"/>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XV. RENGINIUI REIKALINGOS VERTIMO PASLAUGOS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lastRenderedPageBreak/>
        <w:t>1</w:t>
      </w:r>
      <w:r w:rsidR="00FB4934">
        <w:rPr>
          <w:rFonts w:ascii="Times New Roman" w:eastAsia="Times New Roman" w:hAnsi="Times New Roman"/>
          <w:sz w:val="24"/>
          <w:szCs w:val="24"/>
          <w:lang w:eastAsia="lt-LT"/>
        </w:rPr>
        <w:t>5</w:t>
      </w:r>
      <w:r w:rsidRPr="000612E5">
        <w:rPr>
          <w:rFonts w:ascii="Times New Roman" w:eastAsia="Times New Roman" w:hAnsi="Times New Roman"/>
          <w:sz w:val="24"/>
          <w:szCs w:val="24"/>
          <w:lang w:eastAsia="lt-LT"/>
        </w:rPr>
        <w:t xml:space="preserve">.1. Renginiams bus reikalingos žodžiu ir raštu vertimo paslaugos lietuvių–anglų / anglų–lietuvių kalbomis: </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5</w:t>
      </w:r>
      <w:r w:rsidRPr="000612E5">
        <w:rPr>
          <w:rFonts w:ascii="Times New Roman" w:eastAsia="Times New Roman" w:hAnsi="Times New Roman"/>
          <w:sz w:val="24"/>
          <w:szCs w:val="24"/>
          <w:lang w:eastAsia="lt-LT"/>
        </w:rPr>
        <w:t>.1.1. Vertimo raštu paslaugos apima įvairių dokumentų vertimus, susijusius su renginiu (kvietimai, programos, trumpi aprašymai).</w:t>
      </w:r>
      <w:r w:rsidR="00727251">
        <w:rPr>
          <w:rFonts w:ascii="Times New Roman" w:eastAsia="Times New Roman" w:hAnsi="Times New Roman"/>
          <w:sz w:val="24"/>
          <w:szCs w:val="24"/>
          <w:lang w:eastAsia="lt-LT"/>
        </w:rPr>
        <w:t xml:space="preserve"> </w:t>
      </w:r>
      <w:r w:rsidR="00727251" w:rsidRPr="00727251">
        <w:rPr>
          <w:rFonts w:ascii="Times New Roman" w:eastAsia="Times New Roman" w:hAnsi="Times New Roman"/>
          <w:sz w:val="24"/>
          <w:szCs w:val="24"/>
          <w:lang w:eastAsia="lt-LT"/>
        </w:rPr>
        <w:t>Viena lapą sudarys 1600 simbolių be tarpų</w:t>
      </w:r>
      <w:r w:rsidR="00727251">
        <w:rPr>
          <w:rFonts w:ascii="Times New Roman" w:eastAsia="Times New Roman" w:hAnsi="Times New Roman"/>
          <w:sz w:val="24"/>
          <w:szCs w:val="24"/>
          <w:lang w:eastAsia="lt-LT"/>
        </w:rPr>
        <w:t>.</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5</w:t>
      </w:r>
      <w:r w:rsidRPr="000612E5">
        <w:rPr>
          <w:rFonts w:ascii="Times New Roman" w:eastAsia="Times New Roman" w:hAnsi="Times New Roman"/>
          <w:sz w:val="24"/>
          <w:szCs w:val="24"/>
          <w:lang w:eastAsia="lt-LT"/>
        </w:rPr>
        <w:t>.1.2. Vertimo žodžiu paslaugas apims nuoseklų vertimą ir sinchroninį vertimą lietuvių–anglų / anglų–lietuvių kalbomis.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5</w:t>
      </w:r>
      <w:r w:rsidRPr="000612E5">
        <w:rPr>
          <w:rFonts w:ascii="Times New Roman" w:eastAsia="Times New Roman" w:hAnsi="Times New Roman"/>
          <w:sz w:val="24"/>
          <w:szCs w:val="24"/>
          <w:lang w:eastAsia="lt-LT"/>
        </w:rPr>
        <w:t>.</w:t>
      </w:r>
      <w:r w:rsidR="003A7E64">
        <w:rPr>
          <w:rFonts w:ascii="Times New Roman" w:eastAsia="Times New Roman" w:hAnsi="Times New Roman"/>
          <w:sz w:val="24"/>
          <w:szCs w:val="24"/>
          <w:lang w:eastAsia="lt-LT"/>
        </w:rPr>
        <w:t>2</w:t>
      </w:r>
      <w:r w:rsidRPr="000612E5">
        <w:rPr>
          <w:rFonts w:ascii="Times New Roman" w:eastAsia="Times New Roman" w:hAnsi="Times New Roman"/>
          <w:sz w:val="24"/>
          <w:szCs w:val="24"/>
          <w:lang w:eastAsia="lt-LT"/>
        </w:rPr>
        <w:t>. Paslaugų teikėjas turi užtikrinti, kad vertimo paslaugas teiktų kvalifikuoti specialistai, turintys ne mažesnę kaip 2 metų profesinę patirtį atliekant tos rūšies vertimą, turintys patirties teikiant atitinkamos rūšies vertimo paslaugas finansų ir ekonominės politikos klausimais ir ne žemesnį kaip magistro laipsnį ar jam prilygintą išsilavinimą. Perkančioji organizacija gali prašyti iš anksto gauti duomenis apie šių asmenų kvalifikaciją ir nepritarti pasirinktų asmenų kandidatūroms. Tokiu atveju paslaugų teikėjas turi šiuos asmenis pakeisti;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5</w:t>
      </w:r>
      <w:r w:rsidRPr="000612E5">
        <w:rPr>
          <w:rFonts w:ascii="Times New Roman" w:eastAsia="Times New Roman" w:hAnsi="Times New Roman"/>
          <w:sz w:val="24"/>
          <w:szCs w:val="24"/>
          <w:lang w:eastAsia="lt-LT"/>
        </w:rPr>
        <w:t>.</w:t>
      </w:r>
      <w:r w:rsidR="003A7E64">
        <w:rPr>
          <w:rFonts w:ascii="Times New Roman" w:eastAsia="Times New Roman" w:hAnsi="Times New Roman"/>
          <w:sz w:val="24"/>
          <w:szCs w:val="24"/>
          <w:lang w:eastAsia="lt-LT"/>
        </w:rPr>
        <w:t>3</w:t>
      </w:r>
      <w:r w:rsidRPr="000612E5">
        <w:rPr>
          <w:rFonts w:ascii="Times New Roman" w:eastAsia="Times New Roman" w:hAnsi="Times New Roman"/>
          <w:sz w:val="24"/>
          <w:szCs w:val="24"/>
          <w:lang w:eastAsia="lt-LT"/>
        </w:rPr>
        <w:t>. Teikiant sinchroninio vertimo paslaugas turi būti įrengtos sinchroninio vertimo kabinos, vertimo ir diskusinė įranga. Vertimo kabinos turi būti toje pačioje patalpoje, kurioje vyksta renginys, ir užtikrintas tinkamas matomumas vertėjams.</w:t>
      </w:r>
    </w:p>
    <w:p w:rsidR="000612E5" w:rsidRPr="000612E5" w:rsidRDefault="000612E5" w:rsidP="00AD794E">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FB4934">
        <w:rPr>
          <w:rFonts w:ascii="Times New Roman" w:eastAsia="Times New Roman" w:hAnsi="Times New Roman"/>
          <w:sz w:val="24"/>
          <w:szCs w:val="24"/>
          <w:lang w:eastAsia="lt-LT"/>
        </w:rPr>
        <w:t>5</w:t>
      </w:r>
      <w:r w:rsidRPr="000612E5">
        <w:rPr>
          <w:rFonts w:ascii="Times New Roman" w:eastAsia="Times New Roman" w:hAnsi="Times New Roman"/>
          <w:sz w:val="24"/>
          <w:szCs w:val="24"/>
          <w:lang w:eastAsia="lt-LT"/>
        </w:rPr>
        <w:t>.</w:t>
      </w:r>
      <w:r w:rsidR="003A7E64">
        <w:rPr>
          <w:rFonts w:ascii="Times New Roman" w:eastAsia="Times New Roman" w:hAnsi="Times New Roman"/>
          <w:sz w:val="24"/>
          <w:szCs w:val="24"/>
          <w:lang w:eastAsia="lt-LT"/>
        </w:rPr>
        <w:t>4</w:t>
      </w:r>
      <w:r w:rsidR="00AD794E">
        <w:rPr>
          <w:rFonts w:ascii="Times New Roman" w:eastAsia="Times New Roman" w:hAnsi="Times New Roman"/>
          <w:sz w:val="24"/>
          <w:szCs w:val="24"/>
          <w:lang w:eastAsia="lt-LT"/>
        </w:rPr>
        <w:t xml:space="preserve">. </w:t>
      </w:r>
      <w:r w:rsidR="00AD794E" w:rsidRPr="00AD794E">
        <w:rPr>
          <w:rFonts w:ascii="Times New Roman" w:eastAsia="Times New Roman" w:hAnsi="Times New Roman"/>
          <w:sz w:val="24"/>
          <w:szCs w:val="24"/>
          <w:u w:val="single"/>
          <w:lang w:eastAsia="lt-LT"/>
        </w:rPr>
        <w:t>Vertimo paslaugų kainodara</w:t>
      </w:r>
      <w:r w:rsidR="00AD794E">
        <w:rPr>
          <w:rFonts w:ascii="Times New Roman" w:eastAsia="Times New Roman" w:hAnsi="Times New Roman"/>
          <w:sz w:val="24"/>
          <w:szCs w:val="24"/>
          <w:lang w:eastAsia="lt-LT"/>
        </w:rPr>
        <w:t xml:space="preserve">: vertimo paslaugoms </w:t>
      </w:r>
      <w:r w:rsidRPr="000612E5">
        <w:rPr>
          <w:rFonts w:ascii="Times New Roman" w:eastAsia="Times New Roman" w:hAnsi="Times New Roman"/>
          <w:sz w:val="24"/>
          <w:szCs w:val="24"/>
          <w:lang w:eastAsia="lt-LT"/>
        </w:rPr>
        <w:t>taikomas kainos apskaiči</w:t>
      </w:r>
      <w:r w:rsidR="00AD794E">
        <w:rPr>
          <w:rFonts w:ascii="Times New Roman" w:eastAsia="Times New Roman" w:hAnsi="Times New Roman"/>
          <w:sz w:val="24"/>
          <w:szCs w:val="24"/>
          <w:lang w:eastAsia="lt-LT"/>
        </w:rPr>
        <w:t>avimo būdas – fiksuotas įkainis.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center"/>
        <w:rPr>
          <w:rFonts w:ascii="Times New Roman" w:eastAsia="Times New Roman" w:hAnsi="Times New Roman"/>
          <w:b/>
          <w:sz w:val="24"/>
          <w:szCs w:val="24"/>
          <w:lang w:eastAsia="lt-LT"/>
        </w:rPr>
      </w:pPr>
      <w:r w:rsidRPr="000612E5">
        <w:rPr>
          <w:rFonts w:ascii="Times New Roman" w:eastAsia="Times New Roman" w:hAnsi="Times New Roman"/>
          <w:b/>
          <w:sz w:val="24"/>
          <w:szCs w:val="24"/>
          <w:lang w:eastAsia="lt-LT"/>
        </w:rPr>
        <w:t>XVI. MININMALŪS APLINKOS APSAUGOS KRITERIJAI, KURIE TAIKOMI PASLAUGOMS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.1. Pirkimui yra taikomi privalomi minimalūs aplinkos apsaugos kriterijai, kurie nustatyti šioje techninės specifikacijos dalyje. Pirkimas yra žaliasis pirkimas.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.2. Renginiuose naudojamas (Paslaugų teikėjo pateiktas (-i)) popierius, raštinės prekės turi atitikti minimalius aplinkos apsaugos kriterijus: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.2.1. Rašymui, spausdinimui, kopijavimui naudojamas perdirbtas popierius: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.2.1.1. popieriaus sudėtyje turi būti ne mažiau kaip 100 % perdirbto popieriaus (naudoto popieriaus ir (ar) gamybos atliekų) plaušų. Sutarties vykdymo metu perkančioji organizacija turi teisę prašyti atitiktį reikalavimams įrodančių dokumentų: Vokietijos ekologinis ženklas „Mėlynasis angelas“ (toliau – </w:t>
      </w:r>
      <w:proofErr w:type="spellStart"/>
      <w:r w:rsidRPr="000612E5">
        <w:rPr>
          <w:rFonts w:ascii="Times New Roman" w:eastAsia="Times New Roman" w:hAnsi="Times New Roman"/>
          <w:sz w:val="24"/>
          <w:szCs w:val="24"/>
          <w:lang w:eastAsia="lt-LT"/>
        </w:rPr>
        <w:t>the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Blue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Angel</w:t>
      </w:r>
      <w:proofErr w:type="spellEnd"/>
      <w:r w:rsidRPr="000612E5">
        <w:rPr>
          <w:rFonts w:ascii="Times New Roman" w:eastAsia="Times New Roman" w:hAnsi="Times New Roman"/>
          <w:sz w:val="24"/>
          <w:szCs w:val="24"/>
          <w:lang w:eastAsia="lt-LT"/>
        </w:rPr>
        <w:t xml:space="preserve">) arba Šiaurės šalių ekologinis ženklas „Gulbė“ (toliau – </w:t>
      </w:r>
      <w:proofErr w:type="spellStart"/>
      <w:r w:rsidRPr="000612E5">
        <w:rPr>
          <w:rFonts w:ascii="Times New Roman" w:eastAsia="Times New Roman" w:hAnsi="Times New Roman"/>
          <w:sz w:val="24"/>
          <w:szCs w:val="24"/>
          <w:lang w:eastAsia="lt-LT"/>
        </w:rPr>
        <w:t>Nordic</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Swan</w:t>
      </w:r>
      <w:proofErr w:type="spellEnd"/>
      <w:r w:rsidRPr="000612E5">
        <w:rPr>
          <w:rFonts w:ascii="Times New Roman" w:eastAsia="Times New Roman" w:hAnsi="Times New Roman"/>
          <w:sz w:val="24"/>
          <w:szCs w:val="24"/>
          <w:lang w:eastAsia="lt-LT"/>
        </w:rPr>
        <w:t xml:space="preserve">), arba </w:t>
      </w:r>
      <w:proofErr w:type="spellStart"/>
      <w:r w:rsidRPr="000612E5">
        <w:rPr>
          <w:rFonts w:ascii="Times New Roman" w:eastAsia="Times New Roman" w:hAnsi="Times New Roman"/>
          <w:sz w:val="24"/>
          <w:szCs w:val="24"/>
          <w:lang w:eastAsia="lt-LT"/>
        </w:rPr>
        <w:t>Forest</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Stewardship</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Council</w:t>
      </w:r>
      <w:proofErr w:type="spellEnd"/>
      <w:r w:rsidRPr="000612E5">
        <w:rPr>
          <w:rFonts w:ascii="Times New Roman" w:eastAsia="Times New Roman" w:hAnsi="Times New Roman"/>
          <w:sz w:val="24"/>
          <w:szCs w:val="24"/>
          <w:lang w:eastAsia="lt-LT"/>
        </w:rPr>
        <w:t xml:space="preserve"> (toliau – FSC) sertifikatas, arba gamintojo techniniai dokumentai, arba paskelbtosios (notifikuotos) įstaigos bandymų protokolas,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.2.1.2. popierius turi būti nebalintas arba balintas nenaudojant chloro dujų: gamyboje naudojama ECF (angl. </w:t>
      </w:r>
      <w:proofErr w:type="spellStart"/>
      <w:r w:rsidRPr="000612E5">
        <w:rPr>
          <w:rFonts w:ascii="Times New Roman" w:eastAsia="Times New Roman" w:hAnsi="Times New Roman"/>
          <w:sz w:val="24"/>
          <w:szCs w:val="24"/>
          <w:lang w:eastAsia="lt-LT"/>
        </w:rPr>
        <w:t>Elementary</w:t>
      </w:r>
      <w:proofErr w:type="spellEnd"/>
      <w:r w:rsidRPr="000612E5">
        <w:rPr>
          <w:rFonts w:ascii="Times New Roman" w:eastAsia="Times New Roman" w:hAnsi="Times New Roman"/>
          <w:sz w:val="24"/>
          <w:szCs w:val="24"/>
          <w:lang w:eastAsia="lt-LT"/>
        </w:rPr>
        <w:t xml:space="preserve"> Chlorine-</w:t>
      </w:r>
      <w:proofErr w:type="spellStart"/>
      <w:r w:rsidRPr="000612E5">
        <w:rPr>
          <w:rFonts w:ascii="Times New Roman" w:eastAsia="Times New Roman" w:hAnsi="Times New Roman"/>
          <w:sz w:val="24"/>
          <w:szCs w:val="24"/>
          <w:lang w:eastAsia="lt-LT"/>
        </w:rPr>
        <w:t>Free</w:t>
      </w:r>
      <w:proofErr w:type="spellEnd"/>
      <w:r w:rsidRPr="000612E5">
        <w:rPr>
          <w:rFonts w:ascii="Times New Roman" w:eastAsia="Times New Roman" w:hAnsi="Times New Roman"/>
          <w:sz w:val="24"/>
          <w:szCs w:val="24"/>
          <w:lang w:eastAsia="lt-LT"/>
        </w:rPr>
        <w:t xml:space="preserve">) technologija (balinimui nenaudojamos chloro dujos, bet naudojami chloro junginiai) arba TCF (angl. </w:t>
      </w:r>
      <w:proofErr w:type="spellStart"/>
      <w:r w:rsidRPr="000612E5">
        <w:rPr>
          <w:rFonts w:ascii="Times New Roman" w:eastAsia="Times New Roman" w:hAnsi="Times New Roman"/>
          <w:sz w:val="24"/>
          <w:szCs w:val="24"/>
          <w:lang w:eastAsia="lt-LT"/>
        </w:rPr>
        <w:t>Totally</w:t>
      </w:r>
      <w:proofErr w:type="spellEnd"/>
      <w:r w:rsidRPr="000612E5">
        <w:rPr>
          <w:rFonts w:ascii="Times New Roman" w:eastAsia="Times New Roman" w:hAnsi="Times New Roman"/>
          <w:sz w:val="24"/>
          <w:szCs w:val="24"/>
          <w:lang w:eastAsia="lt-LT"/>
        </w:rPr>
        <w:t xml:space="preserve"> Chlorine-</w:t>
      </w:r>
      <w:proofErr w:type="spellStart"/>
      <w:r w:rsidRPr="000612E5">
        <w:rPr>
          <w:rFonts w:ascii="Times New Roman" w:eastAsia="Times New Roman" w:hAnsi="Times New Roman"/>
          <w:sz w:val="24"/>
          <w:szCs w:val="24"/>
          <w:lang w:eastAsia="lt-LT"/>
        </w:rPr>
        <w:t>Free</w:t>
      </w:r>
      <w:proofErr w:type="spellEnd"/>
      <w:r w:rsidRPr="000612E5">
        <w:rPr>
          <w:rFonts w:ascii="Times New Roman" w:eastAsia="Times New Roman" w:hAnsi="Times New Roman"/>
          <w:sz w:val="24"/>
          <w:szCs w:val="24"/>
          <w:lang w:eastAsia="lt-LT"/>
        </w:rPr>
        <w:t xml:space="preserve">) technologija (balinama deguonimi, vandenilio peroksidu ar kitomis chloro junginių neturinčiomis priemonėmis), arba lygiavertės technologijos. Sutarties vykdymo metu perkančioji organizacija turi teisę prašyti atitiktį reikalavimams įrodančių dokumentų: ekologinis ženklas </w:t>
      </w:r>
      <w:proofErr w:type="spellStart"/>
      <w:r w:rsidRPr="000612E5">
        <w:rPr>
          <w:rFonts w:ascii="Times New Roman" w:eastAsia="Times New Roman" w:hAnsi="Times New Roman"/>
          <w:sz w:val="24"/>
          <w:szCs w:val="24"/>
          <w:lang w:eastAsia="lt-LT"/>
        </w:rPr>
        <w:t>the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Blue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Angel</w:t>
      </w:r>
      <w:proofErr w:type="spellEnd"/>
      <w:r w:rsidRPr="000612E5">
        <w:rPr>
          <w:rFonts w:ascii="Times New Roman" w:eastAsia="Times New Roman" w:hAnsi="Times New Roman"/>
          <w:sz w:val="24"/>
          <w:szCs w:val="24"/>
          <w:lang w:eastAsia="lt-LT"/>
        </w:rPr>
        <w:t xml:space="preserve"> arba </w:t>
      </w:r>
      <w:proofErr w:type="spellStart"/>
      <w:r w:rsidRPr="000612E5">
        <w:rPr>
          <w:rFonts w:ascii="Times New Roman" w:eastAsia="Times New Roman" w:hAnsi="Times New Roman"/>
          <w:sz w:val="24"/>
          <w:szCs w:val="24"/>
          <w:lang w:eastAsia="lt-LT"/>
        </w:rPr>
        <w:t>Nordic</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Swan</w:t>
      </w:r>
      <w:proofErr w:type="spellEnd"/>
      <w:r w:rsidRPr="000612E5">
        <w:rPr>
          <w:rFonts w:ascii="Times New Roman" w:eastAsia="Times New Roman" w:hAnsi="Times New Roman"/>
          <w:sz w:val="24"/>
          <w:szCs w:val="24"/>
          <w:lang w:eastAsia="lt-LT"/>
        </w:rPr>
        <w:t>, arba gamintojo techniniai dokumentai, arba paskelbtosios (notifikuotos) įstaigos bandymų protokolas,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.2.1.3. pakuotė turi atitikti Lietuvos Respublikos pakuočių ir pakuočių atliekų tvarkymo įstatymo ir Lietuvos Respublikos aplinkos ministro 2002 m. birželio 27 d. įsakymu Nr. 348 „Dėl pakuočių ir pakuočių atliekų tvarkymo taisyklių patvirtinimo“ </w:t>
      </w:r>
      <w:r w:rsidR="007B10EE">
        <w:rPr>
          <w:rFonts w:ascii="Times New Roman" w:eastAsia="Times New Roman" w:hAnsi="Times New Roman"/>
          <w:color w:val="000000" w:themeColor="text1"/>
          <w:sz w:val="24"/>
          <w:szCs w:val="24"/>
          <w:lang w:eastAsia="lt-LT"/>
        </w:rPr>
        <w:t xml:space="preserve">(aktuali redakcija) </w:t>
      </w:r>
      <w:r w:rsidRPr="000612E5">
        <w:rPr>
          <w:rFonts w:ascii="Times New Roman" w:eastAsia="Times New Roman" w:hAnsi="Times New Roman"/>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.2.2. Rašymui, spausdinimui, kopijavimui naudojamas popierius (pagamintas pirminės medienos plaušų pagrindu):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.2.2.1. popieriaus sudėtyje turi būti ne mažiau kaip 30 % pirminės medienos plaušų, gautų iš miškų, sertifikuotų naudojant FSC ar Miškų sertifikavimo sistemų pripažinimo programą (angl. </w:t>
      </w:r>
      <w:proofErr w:type="spellStart"/>
      <w:r w:rsidRPr="000612E5">
        <w:rPr>
          <w:rFonts w:ascii="Times New Roman" w:eastAsia="Times New Roman" w:hAnsi="Times New Roman"/>
          <w:sz w:val="24"/>
          <w:szCs w:val="24"/>
          <w:lang w:eastAsia="lt-LT"/>
        </w:rPr>
        <w:t>Programme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for</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the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Endorsement</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of</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Forest</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Certification</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schemes</w:t>
      </w:r>
      <w:proofErr w:type="spellEnd"/>
      <w:r w:rsidRPr="000612E5">
        <w:rPr>
          <w:rFonts w:ascii="Times New Roman" w:eastAsia="Times New Roman" w:hAnsi="Times New Roman"/>
          <w:sz w:val="24"/>
          <w:szCs w:val="24"/>
          <w:lang w:eastAsia="lt-LT"/>
        </w:rPr>
        <w:t xml:space="preserve"> (toliau – PEFC)) arba lygiavertes </w:t>
      </w:r>
      <w:r w:rsidRPr="000612E5">
        <w:rPr>
          <w:rFonts w:ascii="Times New Roman" w:eastAsia="Times New Roman" w:hAnsi="Times New Roman"/>
          <w:sz w:val="24"/>
          <w:szCs w:val="24"/>
          <w:lang w:eastAsia="lt-LT"/>
        </w:rPr>
        <w:lastRenderedPageBreak/>
        <w:t xml:space="preserve">miškų sertifikavimo sistemas, likusi dalis − iš tinkamai išaugintų miškų3 ir (ar) perdirbto popieriaus plaušų. Sutarties vykdymo metu perkančioji organizacija turi teisę prašyti atitiktį reikalavimams įrodančių dokumentų: Europos Sąjungos ekologinis ženklas „Gėlė“ (toliau – </w:t>
      </w:r>
      <w:proofErr w:type="spellStart"/>
      <w:r w:rsidRPr="000612E5">
        <w:rPr>
          <w:rFonts w:ascii="Times New Roman" w:eastAsia="Times New Roman" w:hAnsi="Times New Roman"/>
          <w:sz w:val="24"/>
          <w:szCs w:val="24"/>
          <w:lang w:eastAsia="lt-LT"/>
        </w:rPr>
        <w:t>European</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Ecolabel</w:t>
      </w:r>
      <w:proofErr w:type="spellEnd"/>
      <w:r w:rsidRPr="000612E5">
        <w:rPr>
          <w:rFonts w:ascii="Times New Roman" w:eastAsia="Times New Roman" w:hAnsi="Times New Roman"/>
          <w:sz w:val="24"/>
          <w:szCs w:val="24"/>
          <w:lang w:eastAsia="lt-LT"/>
        </w:rPr>
        <w:t xml:space="preserve">) arba ekologinis ženklas </w:t>
      </w:r>
      <w:proofErr w:type="spellStart"/>
      <w:r w:rsidRPr="000612E5">
        <w:rPr>
          <w:rFonts w:ascii="Times New Roman" w:eastAsia="Times New Roman" w:hAnsi="Times New Roman"/>
          <w:sz w:val="24"/>
          <w:szCs w:val="24"/>
          <w:lang w:eastAsia="lt-LT"/>
        </w:rPr>
        <w:t>Nordic</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Swan</w:t>
      </w:r>
      <w:proofErr w:type="spellEnd"/>
      <w:r w:rsidRPr="000612E5">
        <w:rPr>
          <w:rFonts w:ascii="Times New Roman" w:eastAsia="Times New Roman" w:hAnsi="Times New Roman"/>
          <w:sz w:val="24"/>
          <w:szCs w:val="24"/>
          <w:lang w:eastAsia="lt-LT"/>
        </w:rPr>
        <w:t>, arba FSC ar PEFC sertifikatas, arba kiti dokumentai, įrodantys, kad pirminės medienos plaušai gauti iš tinkamai išaugintų miškų (miškotvarkos projektas, leidimas kirsti mišką),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.2.2.2. popierius turi būti nebalintas arba balintas nenaudojant chloro dujų: gamyboje naudojama ECF (angl. </w:t>
      </w:r>
      <w:proofErr w:type="spellStart"/>
      <w:r w:rsidRPr="000612E5">
        <w:rPr>
          <w:rFonts w:ascii="Times New Roman" w:eastAsia="Times New Roman" w:hAnsi="Times New Roman"/>
          <w:sz w:val="24"/>
          <w:szCs w:val="24"/>
          <w:lang w:eastAsia="lt-LT"/>
        </w:rPr>
        <w:t>Elementary</w:t>
      </w:r>
      <w:proofErr w:type="spellEnd"/>
      <w:r w:rsidRPr="000612E5">
        <w:rPr>
          <w:rFonts w:ascii="Times New Roman" w:eastAsia="Times New Roman" w:hAnsi="Times New Roman"/>
          <w:sz w:val="24"/>
          <w:szCs w:val="24"/>
          <w:lang w:eastAsia="lt-LT"/>
        </w:rPr>
        <w:t xml:space="preserve"> Chlorine-</w:t>
      </w:r>
      <w:proofErr w:type="spellStart"/>
      <w:r w:rsidRPr="000612E5">
        <w:rPr>
          <w:rFonts w:ascii="Times New Roman" w:eastAsia="Times New Roman" w:hAnsi="Times New Roman"/>
          <w:sz w:val="24"/>
          <w:szCs w:val="24"/>
          <w:lang w:eastAsia="lt-LT"/>
        </w:rPr>
        <w:t>Free</w:t>
      </w:r>
      <w:proofErr w:type="spellEnd"/>
      <w:r w:rsidRPr="000612E5">
        <w:rPr>
          <w:rFonts w:ascii="Times New Roman" w:eastAsia="Times New Roman" w:hAnsi="Times New Roman"/>
          <w:sz w:val="24"/>
          <w:szCs w:val="24"/>
          <w:lang w:eastAsia="lt-LT"/>
        </w:rPr>
        <w:t xml:space="preserve">) technologija (balinimui nenaudojamos chloro dujos, bet naudojami chloro junginiai) arba TCF (angl. </w:t>
      </w:r>
      <w:proofErr w:type="spellStart"/>
      <w:r w:rsidRPr="000612E5">
        <w:rPr>
          <w:rFonts w:ascii="Times New Roman" w:eastAsia="Times New Roman" w:hAnsi="Times New Roman"/>
          <w:sz w:val="24"/>
          <w:szCs w:val="24"/>
          <w:lang w:eastAsia="lt-LT"/>
        </w:rPr>
        <w:t>Totally</w:t>
      </w:r>
      <w:proofErr w:type="spellEnd"/>
      <w:r w:rsidRPr="000612E5">
        <w:rPr>
          <w:rFonts w:ascii="Times New Roman" w:eastAsia="Times New Roman" w:hAnsi="Times New Roman"/>
          <w:sz w:val="24"/>
          <w:szCs w:val="24"/>
          <w:lang w:eastAsia="lt-LT"/>
        </w:rPr>
        <w:t xml:space="preserve"> Chlorine-</w:t>
      </w:r>
      <w:proofErr w:type="spellStart"/>
      <w:r w:rsidRPr="000612E5">
        <w:rPr>
          <w:rFonts w:ascii="Times New Roman" w:eastAsia="Times New Roman" w:hAnsi="Times New Roman"/>
          <w:sz w:val="24"/>
          <w:szCs w:val="24"/>
          <w:lang w:eastAsia="lt-LT"/>
        </w:rPr>
        <w:t>Free</w:t>
      </w:r>
      <w:proofErr w:type="spellEnd"/>
      <w:r w:rsidRPr="000612E5">
        <w:rPr>
          <w:rFonts w:ascii="Times New Roman" w:eastAsia="Times New Roman" w:hAnsi="Times New Roman"/>
          <w:sz w:val="24"/>
          <w:szCs w:val="24"/>
          <w:lang w:eastAsia="lt-LT"/>
        </w:rPr>
        <w:t xml:space="preserve">) technologija (balinama deguonimi, vandenilio peroksidu ar kitomis chloro junginių neturinčiomis priemonėmis), arba lygiavertės technologijos. Sutarties vykdymo metu perkančioji organizacija turi teisę prašyti atitiktį reikalavimams įrodančių dokumentų: ekologinis ženklas </w:t>
      </w:r>
      <w:proofErr w:type="spellStart"/>
      <w:r w:rsidRPr="000612E5">
        <w:rPr>
          <w:rFonts w:ascii="Times New Roman" w:eastAsia="Times New Roman" w:hAnsi="Times New Roman"/>
          <w:sz w:val="24"/>
          <w:szCs w:val="24"/>
          <w:lang w:eastAsia="lt-LT"/>
        </w:rPr>
        <w:t>European</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Ecolabel</w:t>
      </w:r>
      <w:proofErr w:type="spellEnd"/>
      <w:r w:rsidRPr="000612E5">
        <w:rPr>
          <w:rFonts w:ascii="Times New Roman" w:eastAsia="Times New Roman" w:hAnsi="Times New Roman"/>
          <w:sz w:val="24"/>
          <w:szCs w:val="24"/>
          <w:lang w:eastAsia="lt-LT"/>
        </w:rPr>
        <w:t xml:space="preserve"> arba </w:t>
      </w:r>
      <w:proofErr w:type="spellStart"/>
      <w:r w:rsidRPr="000612E5">
        <w:rPr>
          <w:rFonts w:ascii="Times New Roman" w:eastAsia="Times New Roman" w:hAnsi="Times New Roman"/>
          <w:sz w:val="24"/>
          <w:szCs w:val="24"/>
          <w:lang w:eastAsia="lt-LT"/>
        </w:rPr>
        <w:t>Nordic</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Swan</w:t>
      </w:r>
      <w:proofErr w:type="spellEnd"/>
      <w:r w:rsidRPr="000612E5">
        <w:rPr>
          <w:rFonts w:ascii="Times New Roman" w:eastAsia="Times New Roman" w:hAnsi="Times New Roman"/>
          <w:sz w:val="24"/>
          <w:szCs w:val="24"/>
          <w:lang w:eastAsia="lt-LT"/>
        </w:rPr>
        <w:t>, arba gamintojo techniniai dokumentai, arba paskelbtosios (notifikuotos) įstaigos bandymų protokolas,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.2.2.3. pakuotė turi atitikti Lietuvos Respublikos pakuočių ir pakuočių atliekų tvarkymo įstatymo ir Lietuvos Respublikos aplinkos ministro 2002 m. birželio 27 d. įsakymu Nr. 348 „Dėl pakuočių ir pakuočių atliekų tvarkymo taisyklių patvirtinimo“ </w:t>
      </w:r>
      <w:r w:rsidR="007B10EE">
        <w:rPr>
          <w:rFonts w:ascii="Times New Roman" w:eastAsia="Times New Roman" w:hAnsi="Times New Roman"/>
          <w:color w:val="000000" w:themeColor="text1"/>
          <w:sz w:val="24"/>
          <w:szCs w:val="24"/>
          <w:lang w:eastAsia="lt-LT"/>
        </w:rPr>
        <w:t xml:space="preserve">(aktuali redakcija) </w:t>
      </w:r>
      <w:r w:rsidRPr="000612E5">
        <w:rPr>
          <w:rFonts w:ascii="Times New Roman" w:eastAsia="Times New Roman" w:hAnsi="Times New Roman"/>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.2.3. Raštinės reikmenys iš popieriaus ir kartono:</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.2.3.1. gaminys turi būti pagamintas iš a) ne mažiau kaip 100 % perdirbto popieriaus (naudoto popieriaus ir (ar) gamybos atliekų) plaušų arba b) ne mažiau kaip 30 % pirminės medienos plaušų, gautų iš miškų, sertifikuotų naudojant FSC ar PEFC, arba lygiavertes miškų sertifikavimo sistemas, likusi dalis – iš tinkamai išaugintų miškų ir (ar) perdirbto popieriaus plaušų. Sutarties vykdymo metu perkančioji organizacija turi teisę prašyti atitiktį reikalavimams įrodančių dokumentų: ekologinis ženklas </w:t>
      </w:r>
      <w:proofErr w:type="spellStart"/>
      <w:r w:rsidRPr="000612E5">
        <w:rPr>
          <w:rFonts w:ascii="Times New Roman" w:eastAsia="Times New Roman" w:hAnsi="Times New Roman"/>
          <w:sz w:val="24"/>
          <w:szCs w:val="24"/>
          <w:lang w:eastAsia="lt-LT"/>
        </w:rPr>
        <w:t>the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Blue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Angel</w:t>
      </w:r>
      <w:proofErr w:type="spellEnd"/>
      <w:r w:rsidRPr="000612E5">
        <w:rPr>
          <w:rFonts w:ascii="Times New Roman" w:eastAsia="Times New Roman" w:hAnsi="Times New Roman"/>
          <w:sz w:val="24"/>
          <w:szCs w:val="24"/>
          <w:lang w:eastAsia="lt-LT"/>
        </w:rPr>
        <w:t xml:space="preserve"> arba </w:t>
      </w:r>
      <w:proofErr w:type="spellStart"/>
      <w:r w:rsidRPr="000612E5">
        <w:rPr>
          <w:rFonts w:ascii="Times New Roman" w:eastAsia="Times New Roman" w:hAnsi="Times New Roman"/>
          <w:sz w:val="24"/>
          <w:szCs w:val="24"/>
          <w:lang w:eastAsia="lt-LT"/>
        </w:rPr>
        <w:t>Nordic</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Swan</w:t>
      </w:r>
      <w:proofErr w:type="spellEnd"/>
      <w:r w:rsidRPr="000612E5">
        <w:rPr>
          <w:rFonts w:ascii="Times New Roman" w:eastAsia="Times New Roman" w:hAnsi="Times New Roman"/>
          <w:sz w:val="24"/>
          <w:szCs w:val="24"/>
          <w:lang w:eastAsia="lt-LT"/>
        </w:rPr>
        <w:t xml:space="preserve">, arba </w:t>
      </w:r>
      <w:proofErr w:type="spellStart"/>
      <w:r w:rsidRPr="000612E5">
        <w:rPr>
          <w:rFonts w:ascii="Times New Roman" w:eastAsia="Times New Roman" w:hAnsi="Times New Roman"/>
          <w:sz w:val="24"/>
          <w:szCs w:val="24"/>
          <w:lang w:eastAsia="lt-LT"/>
        </w:rPr>
        <w:t>European</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Ecolabel</w:t>
      </w:r>
      <w:proofErr w:type="spellEnd"/>
      <w:r w:rsidRPr="000612E5">
        <w:rPr>
          <w:rFonts w:ascii="Times New Roman" w:eastAsia="Times New Roman" w:hAnsi="Times New Roman"/>
          <w:sz w:val="24"/>
          <w:szCs w:val="24"/>
          <w:lang w:eastAsia="lt-LT"/>
        </w:rPr>
        <w:t>, arba FSC ar PEFC sertifikatas, arba gamintojo techniniai dokumentai, arba paskelbtosios (notifikuotos) įstaigos bandymų protokolas,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.2.3.2. popierius turi būti nebalintas arba balintas nenaudojant chloro dujų: gamyboje naudojama ECF (angl. </w:t>
      </w:r>
      <w:proofErr w:type="spellStart"/>
      <w:r w:rsidRPr="000612E5">
        <w:rPr>
          <w:rFonts w:ascii="Times New Roman" w:eastAsia="Times New Roman" w:hAnsi="Times New Roman"/>
          <w:sz w:val="24"/>
          <w:szCs w:val="24"/>
          <w:lang w:eastAsia="lt-LT"/>
        </w:rPr>
        <w:t>Elementary</w:t>
      </w:r>
      <w:proofErr w:type="spellEnd"/>
      <w:r w:rsidRPr="000612E5">
        <w:rPr>
          <w:rFonts w:ascii="Times New Roman" w:eastAsia="Times New Roman" w:hAnsi="Times New Roman"/>
          <w:sz w:val="24"/>
          <w:szCs w:val="24"/>
          <w:lang w:eastAsia="lt-LT"/>
        </w:rPr>
        <w:t xml:space="preserve"> Chlorine-</w:t>
      </w:r>
      <w:proofErr w:type="spellStart"/>
      <w:r w:rsidRPr="000612E5">
        <w:rPr>
          <w:rFonts w:ascii="Times New Roman" w:eastAsia="Times New Roman" w:hAnsi="Times New Roman"/>
          <w:sz w:val="24"/>
          <w:szCs w:val="24"/>
          <w:lang w:eastAsia="lt-LT"/>
        </w:rPr>
        <w:t>Free</w:t>
      </w:r>
      <w:proofErr w:type="spellEnd"/>
      <w:r w:rsidRPr="000612E5">
        <w:rPr>
          <w:rFonts w:ascii="Times New Roman" w:eastAsia="Times New Roman" w:hAnsi="Times New Roman"/>
          <w:sz w:val="24"/>
          <w:szCs w:val="24"/>
          <w:lang w:eastAsia="lt-LT"/>
        </w:rPr>
        <w:t xml:space="preserve">) technologija (balinimui nenaudojamos chloro dujos, bet naudojami chloro junginiai) arba TCF (angl. </w:t>
      </w:r>
      <w:proofErr w:type="spellStart"/>
      <w:r w:rsidRPr="000612E5">
        <w:rPr>
          <w:rFonts w:ascii="Times New Roman" w:eastAsia="Times New Roman" w:hAnsi="Times New Roman"/>
          <w:sz w:val="24"/>
          <w:szCs w:val="24"/>
          <w:lang w:eastAsia="lt-LT"/>
        </w:rPr>
        <w:t>Totally</w:t>
      </w:r>
      <w:proofErr w:type="spellEnd"/>
      <w:r w:rsidRPr="000612E5">
        <w:rPr>
          <w:rFonts w:ascii="Times New Roman" w:eastAsia="Times New Roman" w:hAnsi="Times New Roman"/>
          <w:sz w:val="24"/>
          <w:szCs w:val="24"/>
          <w:lang w:eastAsia="lt-LT"/>
        </w:rPr>
        <w:t xml:space="preserve"> Chlorine-</w:t>
      </w:r>
      <w:proofErr w:type="spellStart"/>
      <w:r w:rsidRPr="000612E5">
        <w:rPr>
          <w:rFonts w:ascii="Times New Roman" w:eastAsia="Times New Roman" w:hAnsi="Times New Roman"/>
          <w:sz w:val="24"/>
          <w:szCs w:val="24"/>
          <w:lang w:eastAsia="lt-LT"/>
        </w:rPr>
        <w:t>Free</w:t>
      </w:r>
      <w:proofErr w:type="spellEnd"/>
      <w:r w:rsidRPr="000612E5">
        <w:rPr>
          <w:rFonts w:ascii="Times New Roman" w:eastAsia="Times New Roman" w:hAnsi="Times New Roman"/>
          <w:sz w:val="24"/>
          <w:szCs w:val="24"/>
          <w:lang w:eastAsia="lt-LT"/>
        </w:rPr>
        <w:t>) technologija (balinama deguonimi, vandenilio peroksidu ar kitomis chloro junginių neturinčiomis priemonėmis), arba lygiavertės technologijos. Sutarties vykdymo metu perkančioji organizacija turi teisę prašyti atitiktį reikalavimams įrodančių dokumentų: ekologinis ženklas arba gamintojo techniniai dokumentai, arba paskelbtosios (notifikuotos) įstaigos bandymų protokolas,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.2.3.3. pakuotė turi atitikti Lietuvos Respublikos pakuočių ir pakuočių atliekų tvarkymo įstatymo ir Lietuvos Respublikos aplinkos ministro 2002 m. birželio 27 d. įsakymu Nr. 348 „Dėl pakuočių ir pakuočių atliekų tvarkymo taisyklių patvirtinimo“ </w:t>
      </w:r>
      <w:r w:rsidR="007B10EE">
        <w:rPr>
          <w:rFonts w:ascii="Times New Roman" w:eastAsia="Times New Roman" w:hAnsi="Times New Roman"/>
          <w:color w:val="000000" w:themeColor="text1"/>
          <w:sz w:val="24"/>
          <w:szCs w:val="24"/>
          <w:lang w:eastAsia="lt-LT"/>
        </w:rPr>
        <w:t xml:space="preserve">(aktuali redakcija) </w:t>
      </w:r>
      <w:r w:rsidRPr="000612E5">
        <w:rPr>
          <w:rFonts w:ascii="Times New Roman" w:eastAsia="Times New Roman" w:hAnsi="Times New Roman"/>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.2.4. Kitos raštinės prekės: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.2.4.1. žymeklių rašalas turi būti pagamintas vandens pagrindu. Sutarties vykdymo metu perkančioji organizacija turi teisę prašyti atitiktį reikalavimams įrodančių dokumentų: ekologinis ženklas arba gamintojo techniniai dokumentai, arba paskelbtosios (notifikuotos) institucijos atlikto bandymo protokolas,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.2.4.2. žymekliai ir kitos rašymo priemonės turi būti daugkartinio pildymo, kad naudotojas galėtų be specialios įrangos prisipildyti rašymo priemonę arba pasikeisti šerdelę ar rašalo kapsulę. Sutarties vykdymo metu perkančioji organizacija turi teisę prašyti atitiktį reikalavimams įrodančių </w:t>
      </w:r>
      <w:r w:rsidRPr="000612E5">
        <w:rPr>
          <w:rFonts w:ascii="Times New Roman" w:eastAsia="Times New Roman" w:hAnsi="Times New Roman"/>
          <w:sz w:val="24"/>
          <w:szCs w:val="24"/>
          <w:lang w:eastAsia="lt-LT"/>
        </w:rPr>
        <w:lastRenderedPageBreak/>
        <w:t xml:space="preserve">dokumentų: ekologinis ženklas </w:t>
      </w:r>
      <w:proofErr w:type="spellStart"/>
      <w:r w:rsidRPr="000612E5">
        <w:rPr>
          <w:rFonts w:ascii="Times New Roman" w:eastAsia="Times New Roman" w:hAnsi="Times New Roman"/>
          <w:sz w:val="24"/>
          <w:szCs w:val="24"/>
          <w:lang w:eastAsia="lt-LT"/>
        </w:rPr>
        <w:t>Nordic</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Swan</w:t>
      </w:r>
      <w:proofErr w:type="spellEnd"/>
      <w:r w:rsidRPr="000612E5">
        <w:rPr>
          <w:rFonts w:ascii="Times New Roman" w:eastAsia="Times New Roman" w:hAnsi="Times New Roman"/>
          <w:sz w:val="24"/>
          <w:szCs w:val="24"/>
          <w:lang w:eastAsia="lt-LT"/>
        </w:rPr>
        <w:t xml:space="preserve"> arba gaminio pavyzdys, arba gaminio aprašymas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.2.4.3. rašymo priemonės, kitos raštinės prekės turi būti pagamintos iš natūralios medžiagos (medžio, popieriaus ir kt.) arba iš perdirbtų vartojimo atliekų. Sutarties vykdymo metu perkančioji organizacija turi teisę prašyti atitiktį reikalavimams įrodančių dokumentų: ekologinis ženklas arba gamintojo techniniai dokumentai,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.2.4.4. pakuotė turi atitikti Lietuvos Respublikos pakuočių ir pakuočių atliekų tvarkymo įstatymo ir Lietuvos Respublikos aplinkos ministro 2002 m. birželio 27 d. įsakymu Nr. 348 „Dėl pakuočių ir pakuočių atliekų tvarkymo taisyklių patvirtinimo“ </w:t>
      </w:r>
      <w:r w:rsidR="007B10EE">
        <w:rPr>
          <w:rFonts w:ascii="Times New Roman" w:eastAsia="Times New Roman" w:hAnsi="Times New Roman"/>
          <w:color w:val="000000" w:themeColor="text1"/>
          <w:sz w:val="24"/>
          <w:szCs w:val="24"/>
          <w:lang w:eastAsia="lt-LT"/>
        </w:rPr>
        <w:t xml:space="preserve">(aktuali redakcija) </w:t>
      </w:r>
      <w:r w:rsidRPr="000612E5">
        <w:rPr>
          <w:rFonts w:ascii="Times New Roman" w:eastAsia="Times New Roman" w:hAnsi="Times New Roman"/>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.3. Atliekos turi būti rūšiuojamos jų susidarymo vietoje.</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.4. Jeigu bus naudojama dalomoji medžiaga, ji gali būti išsiųsta renginio dalyviams elektroniniu paštu prieš renginį arba atspausdinta ant abiejų lapo pusių ir padalinta renginio dalyviams renginio metu.</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.5. Renginiuose naudojamos (Paslaugų teikėjo pateiktos) informacinių technologijų priemonės (kompiuteriai, monitoriai) turi atitikti minimalius aplinkos apsaugos kriterijus:</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.5.1. neturi būti gyvsidabrio foninio apšvietimo šaltiniuose. Sutarties vykdymo metu perkančioji organizacija turi teisę prašyti atitiktį reikalavimams įrodančių dokumentų: ekologinis ženklas </w:t>
      </w:r>
      <w:proofErr w:type="spellStart"/>
      <w:r w:rsidRPr="000612E5">
        <w:rPr>
          <w:rFonts w:ascii="Times New Roman" w:eastAsia="Times New Roman" w:hAnsi="Times New Roman"/>
          <w:sz w:val="24"/>
          <w:szCs w:val="24"/>
          <w:lang w:eastAsia="lt-LT"/>
        </w:rPr>
        <w:t>European</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Ecolabel</w:t>
      </w:r>
      <w:proofErr w:type="spellEnd"/>
      <w:r w:rsidRPr="000612E5">
        <w:rPr>
          <w:rFonts w:ascii="Times New Roman" w:eastAsia="Times New Roman" w:hAnsi="Times New Roman"/>
          <w:sz w:val="24"/>
          <w:szCs w:val="24"/>
          <w:lang w:eastAsia="lt-LT"/>
        </w:rPr>
        <w:t xml:space="preserve"> arba </w:t>
      </w:r>
      <w:proofErr w:type="spellStart"/>
      <w:r w:rsidRPr="000612E5">
        <w:rPr>
          <w:rFonts w:ascii="Times New Roman" w:eastAsia="Times New Roman" w:hAnsi="Times New Roman"/>
          <w:sz w:val="24"/>
          <w:szCs w:val="24"/>
          <w:lang w:eastAsia="lt-LT"/>
        </w:rPr>
        <w:t>Nordic</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Swan</w:t>
      </w:r>
      <w:proofErr w:type="spellEnd"/>
      <w:r w:rsidRPr="000612E5">
        <w:rPr>
          <w:rFonts w:ascii="Times New Roman" w:eastAsia="Times New Roman" w:hAnsi="Times New Roman"/>
          <w:sz w:val="24"/>
          <w:szCs w:val="24"/>
          <w:lang w:eastAsia="lt-LT"/>
        </w:rPr>
        <w:t>, arba gamintojo techniniai dokumentai, arba įrangos aprašymas, arba paskelbtosios (notifikuotos) institucijos atlikto bandymo protokolas,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.5.2. plastikinės detalės4 a) sveriančios daugiau kaip 25 g, turi būti paženklintos pagal LST EN ISO 11469 ir LST EN ISO 1043-1 „Plastikai. Simboliai ir terminų santrumpos. 1 dalis. Pagrindiniai polimerai ir jų specialiosios charakteristikos“ arba kitą lygiavertį standartą, b) pagamintos iš skirtingos rūšies plastiko, turi būti lengvai išardomos (kad būtų galima perdirbti). Sutarties vykdymo metu perkančioji organizacija turi teisę prašyti atitiktį reikalavimams įrodančių dokumentų: ekologinis ženklas </w:t>
      </w:r>
      <w:proofErr w:type="spellStart"/>
      <w:r w:rsidRPr="000612E5">
        <w:rPr>
          <w:rFonts w:ascii="Times New Roman" w:eastAsia="Times New Roman" w:hAnsi="Times New Roman"/>
          <w:sz w:val="24"/>
          <w:szCs w:val="24"/>
          <w:lang w:eastAsia="lt-LT"/>
        </w:rPr>
        <w:t>European</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Ecolabel</w:t>
      </w:r>
      <w:proofErr w:type="spellEnd"/>
      <w:r w:rsidRPr="000612E5">
        <w:rPr>
          <w:rFonts w:ascii="Times New Roman" w:eastAsia="Times New Roman" w:hAnsi="Times New Roman"/>
          <w:sz w:val="24"/>
          <w:szCs w:val="24"/>
          <w:lang w:eastAsia="lt-LT"/>
        </w:rPr>
        <w:t xml:space="preserve"> arba </w:t>
      </w:r>
      <w:proofErr w:type="spellStart"/>
      <w:r w:rsidRPr="000612E5">
        <w:rPr>
          <w:rFonts w:ascii="Times New Roman" w:eastAsia="Times New Roman" w:hAnsi="Times New Roman"/>
          <w:sz w:val="24"/>
          <w:szCs w:val="24"/>
          <w:lang w:eastAsia="lt-LT"/>
        </w:rPr>
        <w:t>the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Blue</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Angel</w:t>
      </w:r>
      <w:proofErr w:type="spellEnd"/>
      <w:r w:rsidRPr="000612E5">
        <w:rPr>
          <w:rFonts w:ascii="Times New Roman" w:eastAsia="Times New Roman" w:hAnsi="Times New Roman"/>
          <w:sz w:val="24"/>
          <w:szCs w:val="24"/>
          <w:lang w:eastAsia="lt-LT"/>
        </w:rPr>
        <w:t xml:space="preserve">, arba </w:t>
      </w:r>
      <w:proofErr w:type="spellStart"/>
      <w:r w:rsidRPr="000612E5">
        <w:rPr>
          <w:rFonts w:ascii="Times New Roman" w:eastAsia="Times New Roman" w:hAnsi="Times New Roman"/>
          <w:sz w:val="24"/>
          <w:szCs w:val="24"/>
          <w:lang w:eastAsia="lt-LT"/>
        </w:rPr>
        <w:t>Nordic</w:t>
      </w:r>
      <w:proofErr w:type="spellEnd"/>
      <w:r w:rsidRPr="000612E5">
        <w:rPr>
          <w:rFonts w:ascii="Times New Roman" w:eastAsia="Times New Roman" w:hAnsi="Times New Roman"/>
          <w:sz w:val="24"/>
          <w:szCs w:val="24"/>
          <w:lang w:eastAsia="lt-LT"/>
        </w:rPr>
        <w:t xml:space="preserve"> </w:t>
      </w:r>
      <w:proofErr w:type="spellStart"/>
      <w:r w:rsidRPr="000612E5">
        <w:rPr>
          <w:rFonts w:ascii="Times New Roman" w:eastAsia="Times New Roman" w:hAnsi="Times New Roman"/>
          <w:sz w:val="24"/>
          <w:szCs w:val="24"/>
          <w:lang w:eastAsia="lt-LT"/>
        </w:rPr>
        <w:t>Swan</w:t>
      </w:r>
      <w:proofErr w:type="spellEnd"/>
      <w:r w:rsidRPr="000612E5">
        <w:rPr>
          <w:rFonts w:ascii="Times New Roman" w:eastAsia="Times New Roman" w:hAnsi="Times New Roman"/>
          <w:sz w:val="24"/>
          <w:szCs w:val="24"/>
          <w:lang w:eastAsia="lt-LT"/>
        </w:rPr>
        <w:t>, arba gamintojo techniniai dokumentai, arba gamintojo deklaracija, arba kiti lygiaverčiai įrodymai;</w:t>
      </w:r>
    </w:p>
    <w:p w:rsidR="000612E5" w:rsidRPr="000612E5"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.5.3. pakuotė turi atitikti Lietuvos Respublikos pakuočių ir pakuočių atliekų tvarkymo įstatymo ir Lietuvos Respublikos aplinkos ministro 2002 m. birželio 27 d. įsakymu Nr. 348 „Dėl pakuočių ir pakuočių atliekų tvarkymo taisyklių patvirtinimo“ </w:t>
      </w:r>
      <w:r w:rsidR="007B10EE">
        <w:rPr>
          <w:rFonts w:ascii="Times New Roman" w:eastAsia="Times New Roman" w:hAnsi="Times New Roman"/>
          <w:color w:val="000000" w:themeColor="text1"/>
          <w:sz w:val="24"/>
          <w:szCs w:val="24"/>
          <w:lang w:eastAsia="lt-LT"/>
        </w:rPr>
        <w:t xml:space="preserve">(aktuali redakcija) </w:t>
      </w:r>
      <w:r w:rsidRPr="000612E5">
        <w:rPr>
          <w:rFonts w:ascii="Times New Roman" w:eastAsia="Times New Roman" w:hAnsi="Times New Roman"/>
          <w:sz w:val="24"/>
          <w:szCs w:val="24"/>
          <w:lang w:eastAsia="lt-LT"/>
        </w:rPr>
        <w:t>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rsidR="003C0FC9" w:rsidRDefault="000612E5"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r w:rsidRPr="000612E5">
        <w:rPr>
          <w:rFonts w:ascii="Times New Roman" w:eastAsia="Times New Roman" w:hAnsi="Times New Roman"/>
          <w:sz w:val="24"/>
          <w:szCs w:val="24"/>
          <w:lang w:eastAsia="lt-LT"/>
        </w:rPr>
        <w:t>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.6. Pirkimo metu pateikiami atitiktį 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.2–1</w:t>
      </w:r>
      <w:r w:rsidR="004E26FD">
        <w:rPr>
          <w:rFonts w:ascii="Times New Roman" w:eastAsia="Times New Roman" w:hAnsi="Times New Roman"/>
          <w:sz w:val="24"/>
          <w:szCs w:val="24"/>
          <w:lang w:eastAsia="lt-LT"/>
        </w:rPr>
        <w:t>6</w:t>
      </w:r>
      <w:r w:rsidRPr="000612E5">
        <w:rPr>
          <w:rFonts w:ascii="Times New Roman" w:eastAsia="Times New Roman" w:hAnsi="Times New Roman"/>
          <w:sz w:val="24"/>
          <w:szCs w:val="24"/>
          <w:lang w:eastAsia="lt-LT"/>
        </w:rPr>
        <w:t xml:space="preserve">.5 punktuose nurodytiems reikalavimams įrodantys dokumentai: tiekėjo deklaracija (konkurso sąlygų </w:t>
      </w:r>
      <w:r>
        <w:rPr>
          <w:rFonts w:ascii="Times New Roman" w:eastAsia="Times New Roman" w:hAnsi="Times New Roman"/>
          <w:sz w:val="24"/>
          <w:szCs w:val="24"/>
          <w:lang w:eastAsia="lt-LT"/>
        </w:rPr>
        <w:t>4</w:t>
      </w:r>
      <w:r w:rsidRPr="000612E5">
        <w:rPr>
          <w:rFonts w:ascii="Times New Roman" w:eastAsia="Times New Roman" w:hAnsi="Times New Roman"/>
          <w:sz w:val="24"/>
          <w:szCs w:val="24"/>
          <w:lang w:eastAsia="lt-LT"/>
        </w:rPr>
        <w:t xml:space="preserve"> priedo </w:t>
      </w:r>
      <w:r w:rsidRPr="002D7E0B">
        <w:rPr>
          <w:rFonts w:ascii="Times New Roman" w:eastAsia="Times New Roman" w:hAnsi="Times New Roman"/>
          <w:color w:val="000000" w:themeColor="text1"/>
          <w:sz w:val="24"/>
          <w:szCs w:val="24"/>
          <w:lang w:eastAsia="lt-LT"/>
        </w:rPr>
        <w:t xml:space="preserve">„Pasiūlymo forma“ </w:t>
      </w:r>
      <w:r w:rsidR="007B10EE" w:rsidRPr="002D7E0B">
        <w:rPr>
          <w:rFonts w:ascii="Times New Roman" w:eastAsia="Times New Roman" w:hAnsi="Times New Roman"/>
          <w:color w:val="000000" w:themeColor="text1"/>
          <w:sz w:val="24"/>
          <w:szCs w:val="24"/>
          <w:lang w:eastAsia="lt-LT"/>
        </w:rPr>
        <w:t xml:space="preserve">7 </w:t>
      </w:r>
      <w:r w:rsidRPr="002D7E0B">
        <w:rPr>
          <w:rFonts w:ascii="Times New Roman" w:eastAsia="Times New Roman" w:hAnsi="Times New Roman"/>
          <w:color w:val="000000" w:themeColor="text1"/>
          <w:sz w:val="24"/>
          <w:szCs w:val="24"/>
          <w:lang w:eastAsia="lt-LT"/>
        </w:rPr>
        <w:t xml:space="preserve">punktas) </w:t>
      </w:r>
      <w:r w:rsidRPr="000612E5">
        <w:rPr>
          <w:rFonts w:ascii="Times New Roman" w:eastAsia="Times New Roman" w:hAnsi="Times New Roman"/>
          <w:sz w:val="24"/>
          <w:szCs w:val="24"/>
          <w:lang w:eastAsia="lt-LT"/>
        </w:rPr>
        <w:t>arba kiti lygiaverčiai įrodymai.</w:t>
      </w:r>
    </w:p>
    <w:p w:rsidR="00B650F3" w:rsidRDefault="00B650F3" w:rsidP="000612E5">
      <w:pPr>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lang w:eastAsia="lt-LT"/>
        </w:rPr>
      </w:pPr>
    </w:p>
    <w:p w:rsidR="00B650F3" w:rsidRPr="003C183E" w:rsidRDefault="00B650F3" w:rsidP="00434A31">
      <w:pPr>
        <w:tabs>
          <w:tab w:val="left" w:pos="720"/>
          <w:tab w:val="left" w:pos="851"/>
          <w:tab w:val="left" w:pos="993"/>
          <w:tab w:val="left" w:pos="1134"/>
        </w:tabs>
        <w:spacing w:after="0" w:line="240" w:lineRule="auto"/>
        <w:jc w:val="center"/>
        <w:rPr>
          <w:rFonts w:ascii="Times New Roman" w:hAnsi="Times New Roman"/>
          <w:sz w:val="24"/>
          <w:szCs w:val="24"/>
        </w:rPr>
      </w:pPr>
      <w:r>
        <w:rPr>
          <w:rFonts w:ascii="Times New Roman" w:eastAsia="Times New Roman" w:hAnsi="Times New Roman"/>
          <w:sz w:val="24"/>
          <w:szCs w:val="24"/>
          <w:lang w:eastAsia="lt-LT"/>
        </w:rPr>
        <w:t>__________________</w:t>
      </w:r>
    </w:p>
    <w:sectPr w:rsidR="00B650F3" w:rsidRPr="003C183E" w:rsidSect="00B75703">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AD8" w:rsidRDefault="00155AD8" w:rsidP="00394A95">
      <w:pPr>
        <w:spacing w:after="0" w:line="240" w:lineRule="auto"/>
      </w:pPr>
      <w:r>
        <w:separator/>
      </w:r>
    </w:p>
  </w:endnote>
  <w:endnote w:type="continuationSeparator" w:id="0">
    <w:p w:rsidR="00155AD8" w:rsidRDefault="00155AD8"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AD8" w:rsidRDefault="00155AD8" w:rsidP="00394A95">
      <w:pPr>
        <w:spacing w:after="0" w:line="240" w:lineRule="auto"/>
      </w:pPr>
      <w:r>
        <w:separator/>
      </w:r>
    </w:p>
  </w:footnote>
  <w:footnote w:type="continuationSeparator" w:id="0">
    <w:p w:rsidR="00155AD8" w:rsidRDefault="00155AD8" w:rsidP="00394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315441"/>
      <w:docPartObj>
        <w:docPartGallery w:val="Page Numbers (Top of Page)"/>
        <w:docPartUnique/>
      </w:docPartObj>
    </w:sdtPr>
    <w:sdtEndPr>
      <w:rPr>
        <w:rFonts w:ascii="Times New Roman" w:hAnsi="Times New Roman"/>
        <w:sz w:val="24"/>
        <w:szCs w:val="24"/>
      </w:rPr>
    </w:sdtEndPr>
    <w:sdtContent>
      <w:p w:rsidR="00843793" w:rsidRPr="00E90EC7" w:rsidRDefault="00843793" w:rsidP="00E90EC7">
        <w:pPr>
          <w:pStyle w:val="Antrats"/>
          <w:jc w:val="center"/>
          <w:rPr>
            <w:rFonts w:ascii="Times New Roman" w:hAnsi="Times New Roman"/>
            <w:sz w:val="24"/>
            <w:szCs w:val="24"/>
          </w:rPr>
        </w:pPr>
        <w:r w:rsidRPr="00E90EC7">
          <w:rPr>
            <w:rFonts w:ascii="Times New Roman" w:hAnsi="Times New Roman"/>
            <w:sz w:val="24"/>
            <w:szCs w:val="24"/>
          </w:rPr>
          <w:fldChar w:fldCharType="begin"/>
        </w:r>
        <w:r w:rsidRPr="00E90EC7">
          <w:rPr>
            <w:rFonts w:ascii="Times New Roman" w:hAnsi="Times New Roman"/>
            <w:sz w:val="24"/>
            <w:szCs w:val="24"/>
          </w:rPr>
          <w:instrText>PAGE   \* MERGEFORMAT</w:instrText>
        </w:r>
        <w:r w:rsidRPr="00E90EC7">
          <w:rPr>
            <w:rFonts w:ascii="Times New Roman" w:hAnsi="Times New Roman"/>
            <w:sz w:val="24"/>
            <w:szCs w:val="24"/>
          </w:rPr>
          <w:fldChar w:fldCharType="separate"/>
        </w:r>
        <w:r w:rsidR="00CC6A6C">
          <w:rPr>
            <w:rFonts w:ascii="Times New Roman" w:hAnsi="Times New Roman"/>
            <w:noProof/>
            <w:sz w:val="24"/>
            <w:szCs w:val="24"/>
          </w:rPr>
          <w:t>6</w:t>
        </w:r>
        <w:r w:rsidRPr="00E90EC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2">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1"/>
  </w:num>
  <w:num w:numId="2">
    <w:abstractNumId w:val="22"/>
  </w:num>
  <w:num w:numId="3">
    <w:abstractNumId w:val="6"/>
  </w:num>
  <w:num w:numId="4">
    <w:abstractNumId w:val="17"/>
  </w:num>
  <w:num w:numId="5">
    <w:abstractNumId w:val="30"/>
  </w:num>
  <w:num w:numId="6">
    <w:abstractNumId w:val="24"/>
  </w:num>
  <w:num w:numId="7">
    <w:abstractNumId w:val="11"/>
  </w:num>
  <w:num w:numId="8">
    <w:abstractNumId w:val="23"/>
  </w:num>
  <w:num w:numId="9">
    <w:abstractNumId w:val="32"/>
  </w:num>
  <w:num w:numId="10">
    <w:abstractNumId w:val="16"/>
  </w:num>
  <w:num w:numId="11">
    <w:abstractNumId w:val="21"/>
  </w:num>
  <w:num w:numId="12">
    <w:abstractNumId w:val="4"/>
  </w:num>
  <w:num w:numId="13">
    <w:abstractNumId w:val="10"/>
  </w:num>
  <w:num w:numId="14">
    <w:abstractNumId w:val="3"/>
  </w:num>
  <w:num w:numId="15">
    <w:abstractNumId w:val="8"/>
  </w:num>
  <w:num w:numId="16">
    <w:abstractNumId w:val="26"/>
  </w:num>
  <w:num w:numId="17">
    <w:abstractNumId w:val="35"/>
  </w:num>
  <w:num w:numId="18">
    <w:abstractNumId w:val="1"/>
  </w:num>
  <w:num w:numId="19">
    <w:abstractNumId w:val="18"/>
  </w:num>
  <w:num w:numId="20">
    <w:abstractNumId w:val="9"/>
  </w:num>
  <w:num w:numId="21">
    <w:abstractNumId w:val="7"/>
  </w:num>
  <w:num w:numId="22">
    <w:abstractNumId w:val="5"/>
  </w:num>
  <w:num w:numId="23">
    <w:abstractNumId w:val="14"/>
  </w:num>
  <w:num w:numId="24">
    <w:abstractNumId w:val="27"/>
  </w:num>
  <w:num w:numId="25">
    <w:abstractNumId w:val="34"/>
  </w:num>
  <w:num w:numId="26">
    <w:abstractNumId w:val="28"/>
  </w:num>
  <w:num w:numId="27">
    <w:abstractNumId w:val="2"/>
  </w:num>
  <w:num w:numId="28">
    <w:abstractNumId w:val="33"/>
  </w:num>
  <w:num w:numId="29">
    <w:abstractNumId w:val="19"/>
  </w:num>
  <w:num w:numId="30">
    <w:abstractNumId w:val="36"/>
  </w:num>
  <w:num w:numId="31">
    <w:abstractNumId w:val="20"/>
  </w:num>
  <w:num w:numId="32">
    <w:abstractNumId w:val="25"/>
  </w:num>
  <w:num w:numId="33">
    <w:abstractNumId w:val="12"/>
  </w:num>
  <w:num w:numId="34">
    <w:abstractNumId w:val="15"/>
  </w:num>
  <w:num w:numId="35">
    <w:abstractNumId w:val="13"/>
  </w:num>
  <w:num w:numId="3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298"/>
  <w:hyphenationZone w:val="396"/>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9F"/>
    <w:rsid w:val="00000314"/>
    <w:rsid w:val="000124A9"/>
    <w:rsid w:val="00036DD7"/>
    <w:rsid w:val="000612E5"/>
    <w:rsid w:val="000627E5"/>
    <w:rsid w:val="00071338"/>
    <w:rsid w:val="0007618E"/>
    <w:rsid w:val="00082237"/>
    <w:rsid w:val="00091721"/>
    <w:rsid w:val="000A27F0"/>
    <w:rsid w:val="000B1E75"/>
    <w:rsid w:val="000B63DA"/>
    <w:rsid w:val="000D746F"/>
    <w:rsid w:val="000D7C6C"/>
    <w:rsid w:val="000E1F72"/>
    <w:rsid w:val="0011582F"/>
    <w:rsid w:val="00122197"/>
    <w:rsid w:val="00123703"/>
    <w:rsid w:val="001252C2"/>
    <w:rsid w:val="00126A17"/>
    <w:rsid w:val="00134C7A"/>
    <w:rsid w:val="0013783D"/>
    <w:rsid w:val="00144051"/>
    <w:rsid w:val="00146FFF"/>
    <w:rsid w:val="0015070C"/>
    <w:rsid w:val="00152E10"/>
    <w:rsid w:val="00155AD8"/>
    <w:rsid w:val="00192D65"/>
    <w:rsid w:val="00194EA0"/>
    <w:rsid w:val="001A7353"/>
    <w:rsid w:val="001A7A77"/>
    <w:rsid w:val="001C2936"/>
    <w:rsid w:val="001C53AF"/>
    <w:rsid w:val="001D46D2"/>
    <w:rsid w:val="001E6F09"/>
    <w:rsid w:val="00205C42"/>
    <w:rsid w:val="00212071"/>
    <w:rsid w:val="00214BD4"/>
    <w:rsid w:val="002205EB"/>
    <w:rsid w:val="0023589B"/>
    <w:rsid w:val="002512C0"/>
    <w:rsid w:val="00263841"/>
    <w:rsid w:val="002A439D"/>
    <w:rsid w:val="002A67E2"/>
    <w:rsid w:val="002A7E77"/>
    <w:rsid w:val="002B2915"/>
    <w:rsid w:val="002D234D"/>
    <w:rsid w:val="002D4E20"/>
    <w:rsid w:val="002D7703"/>
    <w:rsid w:val="002D7E0B"/>
    <w:rsid w:val="002F46C2"/>
    <w:rsid w:val="0030226B"/>
    <w:rsid w:val="00303CE6"/>
    <w:rsid w:val="00317F86"/>
    <w:rsid w:val="00321952"/>
    <w:rsid w:val="0033144D"/>
    <w:rsid w:val="00343B59"/>
    <w:rsid w:val="0036511D"/>
    <w:rsid w:val="00381FE7"/>
    <w:rsid w:val="003878A5"/>
    <w:rsid w:val="00392622"/>
    <w:rsid w:val="00394A95"/>
    <w:rsid w:val="003A0D76"/>
    <w:rsid w:val="003A7E64"/>
    <w:rsid w:val="003B7A65"/>
    <w:rsid w:val="003C0FC9"/>
    <w:rsid w:val="003C183E"/>
    <w:rsid w:val="003C2407"/>
    <w:rsid w:val="003C4AF7"/>
    <w:rsid w:val="003C4C15"/>
    <w:rsid w:val="003D4FCC"/>
    <w:rsid w:val="003E5313"/>
    <w:rsid w:val="003E7FA8"/>
    <w:rsid w:val="003F1388"/>
    <w:rsid w:val="003F5942"/>
    <w:rsid w:val="003F7599"/>
    <w:rsid w:val="004109AD"/>
    <w:rsid w:val="00411753"/>
    <w:rsid w:val="00411F74"/>
    <w:rsid w:val="00413ADB"/>
    <w:rsid w:val="00434A31"/>
    <w:rsid w:val="00437B79"/>
    <w:rsid w:val="00447E2C"/>
    <w:rsid w:val="0045086E"/>
    <w:rsid w:val="00461E04"/>
    <w:rsid w:val="00461F3A"/>
    <w:rsid w:val="004649A7"/>
    <w:rsid w:val="00465CC3"/>
    <w:rsid w:val="0048104D"/>
    <w:rsid w:val="00482867"/>
    <w:rsid w:val="004908E9"/>
    <w:rsid w:val="00490A3C"/>
    <w:rsid w:val="00496692"/>
    <w:rsid w:val="004A5FEC"/>
    <w:rsid w:val="004D0626"/>
    <w:rsid w:val="004D085C"/>
    <w:rsid w:val="004E26FD"/>
    <w:rsid w:val="004E2C51"/>
    <w:rsid w:val="00500E04"/>
    <w:rsid w:val="00521865"/>
    <w:rsid w:val="0053123A"/>
    <w:rsid w:val="00536875"/>
    <w:rsid w:val="00536C7C"/>
    <w:rsid w:val="0054548E"/>
    <w:rsid w:val="00560257"/>
    <w:rsid w:val="00562B15"/>
    <w:rsid w:val="005855B4"/>
    <w:rsid w:val="0059669D"/>
    <w:rsid w:val="0059783E"/>
    <w:rsid w:val="005A3119"/>
    <w:rsid w:val="005A79AF"/>
    <w:rsid w:val="005C4D65"/>
    <w:rsid w:val="005C6C9C"/>
    <w:rsid w:val="005D289D"/>
    <w:rsid w:val="005E34A5"/>
    <w:rsid w:val="005E716B"/>
    <w:rsid w:val="005F1F01"/>
    <w:rsid w:val="00621EA1"/>
    <w:rsid w:val="006275F1"/>
    <w:rsid w:val="0063601E"/>
    <w:rsid w:val="00640C4D"/>
    <w:rsid w:val="0066410C"/>
    <w:rsid w:val="00664CA2"/>
    <w:rsid w:val="00667D9A"/>
    <w:rsid w:val="00673A3B"/>
    <w:rsid w:val="00683D8A"/>
    <w:rsid w:val="006856C2"/>
    <w:rsid w:val="00691A0E"/>
    <w:rsid w:val="00695FC4"/>
    <w:rsid w:val="00696534"/>
    <w:rsid w:val="006D79C7"/>
    <w:rsid w:val="006E295B"/>
    <w:rsid w:val="006E7503"/>
    <w:rsid w:val="006E7B2C"/>
    <w:rsid w:val="006F11DA"/>
    <w:rsid w:val="007070DA"/>
    <w:rsid w:val="0071325C"/>
    <w:rsid w:val="0071580D"/>
    <w:rsid w:val="00727251"/>
    <w:rsid w:val="007669A0"/>
    <w:rsid w:val="00780BE0"/>
    <w:rsid w:val="00786F8C"/>
    <w:rsid w:val="007A67A4"/>
    <w:rsid w:val="007A6D40"/>
    <w:rsid w:val="007B10EE"/>
    <w:rsid w:val="007B19F2"/>
    <w:rsid w:val="007C2A93"/>
    <w:rsid w:val="007C74A9"/>
    <w:rsid w:val="007D60F4"/>
    <w:rsid w:val="007D6551"/>
    <w:rsid w:val="007E4BEB"/>
    <w:rsid w:val="007E68E8"/>
    <w:rsid w:val="007F4001"/>
    <w:rsid w:val="00800F3D"/>
    <w:rsid w:val="008128CA"/>
    <w:rsid w:val="00812DAA"/>
    <w:rsid w:val="00833F84"/>
    <w:rsid w:val="00843793"/>
    <w:rsid w:val="00845FF6"/>
    <w:rsid w:val="00847EE9"/>
    <w:rsid w:val="00873001"/>
    <w:rsid w:val="00886A48"/>
    <w:rsid w:val="008A3562"/>
    <w:rsid w:val="008A782F"/>
    <w:rsid w:val="008D7B71"/>
    <w:rsid w:val="008F329A"/>
    <w:rsid w:val="008F6572"/>
    <w:rsid w:val="0091085C"/>
    <w:rsid w:val="00927B4E"/>
    <w:rsid w:val="00932B9F"/>
    <w:rsid w:val="00936F33"/>
    <w:rsid w:val="00946FDB"/>
    <w:rsid w:val="00947F9F"/>
    <w:rsid w:val="00950DB9"/>
    <w:rsid w:val="009530CB"/>
    <w:rsid w:val="009A1E8D"/>
    <w:rsid w:val="009C2A12"/>
    <w:rsid w:val="009D520C"/>
    <w:rsid w:val="009D7AC6"/>
    <w:rsid w:val="009E0E0E"/>
    <w:rsid w:val="009E7871"/>
    <w:rsid w:val="009F1260"/>
    <w:rsid w:val="009F1B74"/>
    <w:rsid w:val="009F4DC7"/>
    <w:rsid w:val="00A35262"/>
    <w:rsid w:val="00A406A9"/>
    <w:rsid w:val="00A40B70"/>
    <w:rsid w:val="00A46401"/>
    <w:rsid w:val="00A50E26"/>
    <w:rsid w:val="00A752EB"/>
    <w:rsid w:val="00A77E16"/>
    <w:rsid w:val="00A8621C"/>
    <w:rsid w:val="00AB004E"/>
    <w:rsid w:val="00AC52C3"/>
    <w:rsid w:val="00AD2BA9"/>
    <w:rsid w:val="00AD333A"/>
    <w:rsid w:val="00AD794E"/>
    <w:rsid w:val="00AF0624"/>
    <w:rsid w:val="00AF2A5A"/>
    <w:rsid w:val="00B02584"/>
    <w:rsid w:val="00B16427"/>
    <w:rsid w:val="00B27020"/>
    <w:rsid w:val="00B3105D"/>
    <w:rsid w:val="00B34494"/>
    <w:rsid w:val="00B44441"/>
    <w:rsid w:val="00B605A1"/>
    <w:rsid w:val="00B64824"/>
    <w:rsid w:val="00B650F3"/>
    <w:rsid w:val="00B676B5"/>
    <w:rsid w:val="00B73DFC"/>
    <w:rsid w:val="00B75703"/>
    <w:rsid w:val="00B81FA2"/>
    <w:rsid w:val="00B85862"/>
    <w:rsid w:val="00B909D7"/>
    <w:rsid w:val="00BA3DDC"/>
    <w:rsid w:val="00BB698A"/>
    <w:rsid w:val="00BC653E"/>
    <w:rsid w:val="00BE2C19"/>
    <w:rsid w:val="00BE7E2C"/>
    <w:rsid w:val="00BF0D7A"/>
    <w:rsid w:val="00BF17C0"/>
    <w:rsid w:val="00BF5022"/>
    <w:rsid w:val="00BF6053"/>
    <w:rsid w:val="00C06D3D"/>
    <w:rsid w:val="00C20497"/>
    <w:rsid w:val="00C3353D"/>
    <w:rsid w:val="00C4131C"/>
    <w:rsid w:val="00C439FB"/>
    <w:rsid w:val="00C57F23"/>
    <w:rsid w:val="00C61C83"/>
    <w:rsid w:val="00C70A8F"/>
    <w:rsid w:val="00C811DF"/>
    <w:rsid w:val="00CA1FA1"/>
    <w:rsid w:val="00CC6A6C"/>
    <w:rsid w:val="00CD113A"/>
    <w:rsid w:val="00CE3328"/>
    <w:rsid w:val="00CE7812"/>
    <w:rsid w:val="00CF21EE"/>
    <w:rsid w:val="00CF3686"/>
    <w:rsid w:val="00CF36BA"/>
    <w:rsid w:val="00CF5A0B"/>
    <w:rsid w:val="00D0725E"/>
    <w:rsid w:val="00D1495D"/>
    <w:rsid w:val="00D23EF2"/>
    <w:rsid w:val="00D24A98"/>
    <w:rsid w:val="00D26395"/>
    <w:rsid w:val="00D34DC0"/>
    <w:rsid w:val="00D40DD4"/>
    <w:rsid w:val="00D47993"/>
    <w:rsid w:val="00D566BB"/>
    <w:rsid w:val="00D566FA"/>
    <w:rsid w:val="00D756BF"/>
    <w:rsid w:val="00D93342"/>
    <w:rsid w:val="00DA605E"/>
    <w:rsid w:val="00DA7C75"/>
    <w:rsid w:val="00DB2FA5"/>
    <w:rsid w:val="00DB3143"/>
    <w:rsid w:val="00DC2667"/>
    <w:rsid w:val="00DC2D24"/>
    <w:rsid w:val="00DC6253"/>
    <w:rsid w:val="00DF0D6E"/>
    <w:rsid w:val="00E022FA"/>
    <w:rsid w:val="00E37C4E"/>
    <w:rsid w:val="00E47CB0"/>
    <w:rsid w:val="00E83574"/>
    <w:rsid w:val="00E90EC7"/>
    <w:rsid w:val="00E915D0"/>
    <w:rsid w:val="00EA0664"/>
    <w:rsid w:val="00EA0D83"/>
    <w:rsid w:val="00EA1163"/>
    <w:rsid w:val="00EA1C90"/>
    <w:rsid w:val="00EB124D"/>
    <w:rsid w:val="00EC5F79"/>
    <w:rsid w:val="00EC5F80"/>
    <w:rsid w:val="00ED60FE"/>
    <w:rsid w:val="00EE5D84"/>
    <w:rsid w:val="00EE7F74"/>
    <w:rsid w:val="00EF2EE4"/>
    <w:rsid w:val="00F07022"/>
    <w:rsid w:val="00F0767A"/>
    <w:rsid w:val="00F209F3"/>
    <w:rsid w:val="00F26507"/>
    <w:rsid w:val="00F407FC"/>
    <w:rsid w:val="00F50B45"/>
    <w:rsid w:val="00F539A3"/>
    <w:rsid w:val="00F6010B"/>
    <w:rsid w:val="00F61521"/>
    <w:rsid w:val="00F66F29"/>
    <w:rsid w:val="00F75043"/>
    <w:rsid w:val="00F77690"/>
    <w:rsid w:val="00F81259"/>
    <w:rsid w:val="00F815D7"/>
    <w:rsid w:val="00F81D84"/>
    <w:rsid w:val="00FA3CB0"/>
    <w:rsid w:val="00FB1CE1"/>
    <w:rsid w:val="00FB4934"/>
    <w:rsid w:val="00FE5416"/>
    <w:rsid w:val="00FE56BB"/>
    <w:rsid w:val="00FF08C6"/>
    <w:rsid w:val="00FF0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semiHidden/>
    <w:unhideWhenUsed/>
    <w:rsid w:val="00036DD7"/>
    <w:rPr>
      <w:sz w:val="16"/>
      <w:szCs w:val="16"/>
    </w:rPr>
  </w:style>
  <w:style w:type="paragraph" w:styleId="Komentarotekstas">
    <w:name w:val="annotation text"/>
    <w:basedOn w:val="prastasis"/>
    <w:link w:val="KomentarotekstasDiagrama"/>
    <w:uiPriority w:val="99"/>
    <w:semiHidden/>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A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semiHidden/>
    <w:unhideWhenUsed/>
    <w:rsid w:val="00036DD7"/>
    <w:rPr>
      <w:sz w:val="16"/>
      <w:szCs w:val="16"/>
    </w:rPr>
  </w:style>
  <w:style w:type="paragraph" w:styleId="Komentarotekstas">
    <w:name w:val="annotation text"/>
    <w:basedOn w:val="prastasis"/>
    <w:link w:val="KomentarotekstasDiagrama"/>
    <w:uiPriority w:val="99"/>
    <w:semiHidden/>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A1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6C775-F0FE-425D-B4A2-9D27EC8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15</Pages>
  <Words>34638</Words>
  <Characters>19745</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160</cp:revision>
  <cp:lastPrinted>2015-05-21T10:47:00Z</cp:lastPrinted>
  <dcterms:created xsi:type="dcterms:W3CDTF">2018-05-02T12:37:00Z</dcterms:created>
  <dcterms:modified xsi:type="dcterms:W3CDTF">2020-06-10T07:10:00Z</dcterms:modified>
</cp:coreProperties>
</file>