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052"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A03257" w:rsidRPr="005C4BBA" w14:paraId="6B8E7FD3" w14:textId="77777777" w:rsidTr="00B740E1">
        <w:trPr>
          <w:trHeight w:val="793"/>
        </w:trPr>
        <w:tc>
          <w:tcPr>
            <w:tcW w:w="4077" w:type="dxa"/>
            <w:shd w:val="clear" w:color="auto" w:fill="auto"/>
          </w:tcPr>
          <w:p w14:paraId="3208D347" w14:textId="77777777" w:rsidR="00A03257" w:rsidRPr="005C4BBA" w:rsidRDefault="00A03257" w:rsidP="00B740E1">
            <w:pPr>
              <w:keepNext/>
              <w:spacing w:after="0" w:line="240" w:lineRule="auto"/>
              <w:ind w:right="-5"/>
              <w:outlineLvl w:val="8"/>
              <w:rPr>
                <w:rFonts w:ascii="Times New Roman" w:eastAsia="MS Mincho" w:hAnsi="Times New Roman" w:cs="Times New Roman"/>
                <w:sz w:val="20"/>
                <w:szCs w:val="20"/>
              </w:rPr>
            </w:pPr>
            <w:bookmarkStart w:id="0" w:name="_GoBack"/>
            <w:bookmarkEnd w:id="0"/>
            <w:r>
              <w:rPr>
                <w:rFonts w:ascii="Times New Roman" w:eastAsia="Calibri" w:hAnsi="Times New Roman" w:cs="Times New Roman"/>
                <w:sz w:val="20"/>
                <w:szCs w:val="20"/>
              </w:rPr>
              <w:t>Kėdžių</w:t>
            </w:r>
            <w:r w:rsidRPr="005C4BBA">
              <w:rPr>
                <w:rFonts w:ascii="Times New Roman" w:eastAsia="Calibri" w:hAnsi="Times New Roman" w:cs="Times New Roman"/>
                <w:sz w:val="20"/>
                <w:szCs w:val="20"/>
              </w:rPr>
              <w:t xml:space="preserve"> viešojo pirkimo sutarties </w:t>
            </w:r>
            <w:r w:rsidRPr="005C4BBA">
              <w:rPr>
                <w:rFonts w:ascii="Times New Roman" w:eastAsia="MS Mincho" w:hAnsi="Times New Roman" w:cs="Times New Roman"/>
                <w:sz w:val="20"/>
                <w:szCs w:val="20"/>
              </w:rPr>
              <w:t>Nr.___________________</w:t>
            </w:r>
          </w:p>
          <w:p w14:paraId="179E222A" w14:textId="77777777" w:rsidR="00A03257" w:rsidRPr="005C4BBA" w:rsidRDefault="00A03257" w:rsidP="00B740E1">
            <w:pPr>
              <w:spacing w:after="0" w:line="240" w:lineRule="auto"/>
              <w:rPr>
                <w:rFonts w:ascii="Times New Roman" w:eastAsia="MS Mincho" w:hAnsi="Times New Roman" w:cs="Times New Roman"/>
                <w:sz w:val="20"/>
                <w:szCs w:val="20"/>
              </w:rPr>
            </w:pPr>
          </w:p>
          <w:p w14:paraId="28915C4B" w14:textId="77777777" w:rsidR="00A03257" w:rsidRPr="005C4BBA" w:rsidRDefault="00A03257" w:rsidP="00B740E1">
            <w:pPr>
              <w:keepNext/>
              <w:spacing w:after="0" w:line="240" w:lineRule="auto"/>
              <w:ind w:right="-5"/>
              <w:jc w:val="both"/>
              <w:outlineLvl w:val="8"/>
              <w:rPr>
                <w:rFonts w:ascii="Times New Roman" w:eastAsia="MS Mincho" w:hAnsi="Times New Roman" w:cs="Times New Roman"/>
                <w:sz w:val="20"/>
                <w:szCs w:val="20"/>
              </w:rPr>
            </w:pPr>
            <w:r>
              <w:rPr>
                <w:rFonts w:ascii="Times New Roman" w:eastAsia="MS Mincho" w:hAnsi="Times New Roman" w:cs="Times New Roman"/>
                <w:sz w:val="20"/>
                <w:szCs w:val="20"/>
              </w:rPr>
              <w:t>1</w:t>
            </w:r>
            <w:r w:rsidRPr="005C4BBA">
              <w:rPr>
                <w:rFonts w:ascii="Times New Roman" w:eastAsia="MS Mincho" w:hAnsi="Times New Roman" w:cs="Times New Roman"/>
                <w:sz w:val="20"/>
                <w:szCs w:val="20"/>
              </w:rPr>
              <w:t xml:space="preserve"> priedas</w:t>
            </w:r>
          </w:p>
        </w:tc>
      </w:tr>
    </w:tbl>
    <w:p w14:paraId="3F894EA6" w14:textId="77777777" w:rsidR="00A03257" w:rsidRDefault="00A03257" w:rsidP="007B7914">
      <w:pPr>
        <w:spacing w:after="0" w:line="240" w:lineRule="auto"/>
        <w:jc w:val="center"/>
        <w:rPr>
          <w:rFonts w:ascii="Times New Roman" w:eastAsia="Calibri" w:hAnsi="Times New Roman" w:cs="Times New Roman"/>
          <w:b/>
          <w:bCs/>
          <w:sz w:val="24"/>
          <w:szCs w:val="24"/>
        </w:rPr>
      </w:pPr>
    </w:p>
    <w:p w14:paraId="04B04528" w14:textId="77777777" w:rsidR="00A03257" w:rsidRDefault="00A03257" w:rsidP="007B7914">
      <w:pPr>
        <w:spacing w:after="0" w:line="240" w:lineRule="auto"/>
        <w:jc w:val="center"/>
        <w:rPr>
          <w:rFonts w:ascii="Times New Roman" w:eastAsia="Calibri" w:hAnsi="Times New Roman" w:cs="Times New Roman"/>
          <w:b/>
          <w:bCs/>
          <w:sz w:val="24"/>
          <w:szCs w:val="24"/>
        </w:rPr>
      </w:pPr>
    </w:p>
    <w:p w14:paraId="7DF3B903" w14:textId="77777777" w:rsidR="00A03257" w:rsidRDefault="00A03257" w:rsidP="007B7914">
      <w:pPr>
        <w:spacing w:after="0" w:line="240" w:lineRule="auto"/>
        <w:jc w:val="center"/>
        <w:rPr>
          <w:rFonts w:ascii="Times New Roman" w:eastAsia="Calibri" w:hAnsi="Times New Roman" w:cs="Times New Roman"/>
          <w:b/>
          <w:bCs/>
          <w:sz w:val="24"/>
          <w:szCs w:val="24"/>
        </w:rPr>
      </w:pPr>
    </w:p>
    <w:p w14:paraId="49403418" w14:textId="77777777" w:rsidR="00A03257" w:rsidRDefault="00A03257" w:rsidP="007B7914">
      <w:pPr>
        <w:spacing w:after="0" w:line="240" w:lineRule="auto"/>
        <w:jc w:val="center"/>
        <w:rPr>
          <w:rFonts w:ascii="Times New Roman" w:eastAsia="Calibri" w:hAnsi="Times New Roman" w:cs="Times New Roman"/>
          <w:b/>
          <w:bCs/>
          <w:sz w:val="24"/>
          <w:szCs w:val="24"/>
        </w:rPr>
      </w:pPr>
    </w:p>
    <w:p w14:paraId="32ED86CC" w14:textId="0A0DAA05" w:rsidR="007B7914" w:rsidRPr="00D5609A" w:rsidRDefault="007B7914" w:rsidP="007B7914">
      <w:pPr>
        <w:spacing w:after="0" w:line="240" w:lineRule="auto"/>
        <w:jc w:val="center"/>
        <w:rPr>
          <w:rFonts w:ascii="Times New Roman" w:eastAsia="Calibri" w:hAnsi="Times New Roman" w:cs="Times New Roman"/>
          <w:b/>
          <w:bCs/>
          <w:sz w:val="24"/>
          <w:szCs w:val="24"/>
        </w:rPr>
      </w:pPr>
      <w:r w:rsidRPr="00D5609A">
        <w:rPr>
          <w:rFonts w:ascii="Times New Roman" w:eastAsia="Calibri" w:hAnsi="Times New Roman" w:cs="Times New Roman"/>
          <w:b/>
          <w:bCs/>
          <w:sz w:val="24"/>
          <w:szCs w:val="24"/>
        </w:rPr>
        <w:t>II PIRKIMO OBJEKTO DALIS - KĖDĖS PANEVĖŽIO FILIALUI</w:t>
      </w:r>
    </w:p>
    <w:p w14:paraId="5D590963" w14:textId="77777777" w:rsidR="007B7914" w:rsidRPr="00D5609A" w:rsidRDefault="007B7914" w:rsidP="007B7914">
      <w:pPr>
        <w:spacing w:after="0" w:line="240" w:lineRule="auto"/>
        <w:ind w:right="566"/>
        <w:jc w:val="center"/>
        <w:rPr>
          <w:rFonts w:ascii="Times New Roman" w:eastAsia="Times New Roman" w:hAnsi="Times New Roman" w:cs="Times New Roman"/>
          <w:b/>
          <w:sz w:val="24"/>
          <w:szCs w:val="24"/>
        </w:rPr>
      </w:pPr>
      <w:r w:rsidRPr="00D5609A">
        <w:rPr>
          <w:rFonts w:ascii="Times New Roman" w:eastAsia="Times New Roman" w:hAnsi="Times New Roman" w:cs="Times New Roman"/>
          <w:b/>
          <w:sz w:val="24"/>
          <w:szCs w:val="24"/>
        </w:rPr>
        <w:t>KĖDŽIŲ TECHNINĖ SPECIFIKACIJA</w:t>
      </w:r>
    </w:p>
    <w:p w14:paraId="3BCA0D88" w14:textId="77777777" w:rsidR="007B7914" w:rsidRPr="00D5609A" w:rsidRDefault="007B7914" w:rsidP="007B7914">
      <w:pPr>
        <w:spacing w:after="0" w:line="240" w:lineRule="auto"/>
        <w:ind w:right="566"/>
        <w:jc w:val="center"/>
        <w:rPr>
          <w:rFonts w:ascii="Times New Roman" w:eastAsia="Times New Roman" w:hAnsi="Times New Roman" w:cs="Times New Roman"/>
          <w:b/>
          <w:sz w:val="24"/>
          <w:szCs w:val="24"/>
        </w:rPr>
      </w:pPr>
    </w:p>
    <w:p w14:paraId="5175E9D4"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Pirkimo objektas – kėdės (toliau – kėdės arba prekė (-s)). Kėdės bus perkamos perkančiosios organizacijos patalpoms Pramonės g. 12, Panevėžio mieste. Pastato, kuriam perkamos kėdės, planai ir kėdžių išdėstymas yra pateikti atskirais dokumentais „Kėdžių išdėstymo planas“. Prekių kiekiai ir aprašymai yra pateikti 1 lentelėje.</w:t>
      </w:r>
    </w:p>
    <w:p w14:paraId="33985889"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Prekės ir komplektuojančiosios dalys turi būti naujos ir nenaudotos.</w:t>
      </w:r>
    </w:p>
    <w:p w14:paraId="76895689"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Prekės Pirkėjui turi būti pristatytos supakuotos.</w:t>
      </w:r>
    </w:p>
    <w:p w14:paraId="0DC9ACA6"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Prekėms, nurodytoms techninių reikalavimų 1 eilutėje, turi būti suteikiama 60 mėn. garantija, o prekėms, nurodytoms 2 – 7 eilutėse – 36 mėn. garantija, kuri skaičiuojama nuo prekių perdavimo Pirkėjui dienos. Garantijos galiojimo metu Tiekėjas nemokamai pašalina prekių ar jų dalių trūkumus ir gedimus per 14 (keturiolika) kalendorinių dienų nuo Pirkėjo pranešimo apie juos dienos. Tuo atveju, jei tai pačiai prekei defektai nustatomi pakartotinai, Tiekėjas, Pirkėjo reikalavimu, privalo ne vėliau kaip per 30 (trisdešimt) kalendorinių dienų (nuo pranešimo apie tokį defektą gavimo dienos) tokią prekę pakeisti nauja.</w:t>
      </w:r>
    </w:p>
    <w:p w14:paraId="0CF11EEB"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Garantinis terminas visoms pakeistoms, pataisytoms prekėms ar jų dalims vėl pradedamas skaičiuoti nuo tinkamai sutaisytų ar pakeistų prekių (ar jų dalių) perdavimo Pirkėjui dienos.</w:t>
      </w:r>
    </w:p>
    <w:p w14:paraId="193BE335"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Pirkėjui pateikus kėdžių užsakymą Tiekėjui, kėdės turės būti pristatytos ir sumontuotos per 40 (keturiasdešimt) kalendorinių dienų nuo Pirkėjo užsakymo pateikimo dienos. Užsakymas bus teikiamas visam techninėje specifikacijoje nurodytam prekių kiekiui. Pirkėjas su Tiekėju suderina konkrečią kėdžių pristatymo ir sumontavimo datą ir laiką.</w:t>
      </w:r>
    </w:p>
    <w:p w14:paraId="298826D2"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Pirkėjas užsakymą dėl kėdžių pristatymo ir sumontavimo Tiekėjui pateiks ne vėliau kaip per 20 (dvidešimt) kalendorinių dienų nuo sutarties pasirašymo dienos.</w:t>
      </w:r>
    </w:p>
    <w:p w14:paraId="67461377"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 xml:space="preserve">Užsakymą Tiekėjui teikia Pirkėjo Sutarties projekto specialiojoje dalyje nurodytas atstovas (asmuo, atsakingas už Sutarties vykdymą). Užsakymas pateikiamas elektroniniu paštu Sutartyje nurodytu Tiekėjo elektroniniu pašto adresu. </w:t>
      </w:r>
    </w:p>
    <w:p w14:paraId="06659985"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Sutarties galiojimo trukmė – 3 mėnesiai nuo Sutarties pasirašymo dienos.</w:t>
      </w:r>
    </w:p>
    <w:p w14:paraId="02BF3C44"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Tiekėjas, gavęs Pirkėjo užsakymą, savo sąskaita be papildomo mokesčio turi pristatyti kėdes adresu: Pramonės g. 12, Panevėžys, jas sunešti į patalpas ir sumontuoti kėdžių išdėstymo plane nurodytose vietose.</w:t>
      </w:r>
    </w:p>
    <w:p w14:paraId="7D77B1F9"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Pirkėjas turi teisę išsirinkti konkrečią prekių (atskirų jų dalių) spalvą iš Tiekėjo siūlomų spalvų pavyzdžių. Tiekėjas, ne vėliau kaip per 1 darbo dieną nuo kėdžių užsakymo pateikimo dienos, suderina su Pirkėju prekių spalvą.</w:t>
      </w:r>
    </w:p>
    <w:p w14:paraId="73F3A347"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Sutarties vykdymo metu Tiekėjas spalvų derinimui Pirkėjui privalo pateikti pavyzdžius:</w:t>
      </w:r>
    </w:p>
    <w:p w14:paraId="64CBDB71" w14:textId="77777777" w:rsidR="007B7914" w:rsidRPr="00D5609A" w:rsidRDefault="007B7914" w:rsidP="007B7914">
      <w:pPr>
        <w:numPr>
          <w:ilvl w:val="1"/>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plastiko – ne mažiau kaip 5 spalvų;</w:t>
      </w:r>
    </w:p>
    <w:p w14:paraId="7BAE799B" w14:textId="77777777" w:rsidR="007B7914" w:rsidRPr="00D5609A" w:rsidRDefault="007B7914" w:rsidP="007B7914">
      <w:pPr>
        <w:numPr>
          <w:ilvl w:val="1"/>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metalinių dalių – ne mažiau kaip 4 spalvų;</w:t>
      </w:r>
    </w:p>
    <w:p w14:paraId="6F7C1D4D" w14:textId="77777777" w:rsidR="007B7914" w:rsidRPr="00D5609A" w:rsidRDefault="007B7914" w:rsidP="007B7914">
      <w:pPr>
        <w:numPr>
          <w:ilvl w:val="1"/>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gobelenų –ne mažiau kaip 15 spalvų;</w:t>
      </w:r>
    </w:p>
    <w:p w14:paraId="077D05B1" w14:textId="77777777" w:rsidR="007B7914" w:rsidRPr="00D5609A" w:rsidRDefault="007B7914" w:rsidP="007B7914">
      <w:pPr>
        <w:numPr>
          <w:ilvl w:val="1"/>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„supertec“ – ne mažiau kaip 5 spalvų.</w:t>
      </w:r>
    </w:p>
    <w:p w14:paraId="62500E5F"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Kartu su pasiūlymu turi būti pateiktas (-i) patvirtintas (-i) gamintojo (-ų) išduotas (-i) technines gaminio savybes pagrindžiantis (-ys) dokumentas (-ai), įrodantis (-ys), kad kėdės atitinka techninėje specifikacijoje nurodytus reikalavimus.</w:t>
      </w:r>
    </w:p>
    <w:p w14:paraId="34443FC2" w14:textId="77777777" w:rsidR="007B7914" w:rsidRPr="00D5609A" w:rsidRDefault="007B7914" w:rsidP="007B7914">
      <w:pPr>
        <w:numPr>
          <w:ilvl w:val="0"/>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Tiekėjas kartu su pasiūlymu turi pateikti nepriklausomų, akredituotų sertifikuojančių organizacijų išduotus sertifikatus ir (ar) kitus dokumentus, patvirtinančius atitiktį reikalavimams (originalus arba tinkamai patvirtintas kopijas. Tiekėjo parengta deklaracija nėra laikoma dokumentu, patvirtinančiu reikalavimus), kad:</w:t>
      </w:r>
    </w:p>
    <w:p w14:paraId="394EC8DF" w14:textId="77777777" w:rsidR="007B7914" w:rsidRPr="00D5609A" w:rsidRDefault="007B7914" w:rsidP="007B7914">
      <w:pPr>
        <w:numPr>
          <w:ilvl w:val="1"/>
          <w:numId w:val="2"/>
        </w:numPr>
        <w:tabs>
          <w:tab w:val="left" w:pos="0"/>
          <w:tab w:val="left" w:pos="567"/>
        </w:tabs>
        <w:spacing w:after="0" w:line="240" w:lineRule="auto"/>
        <w:ind w:left="0" w:right="-1" w:firstLine="0"/>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lastRenderedPageBreak/>
        <w:t>prekės atitinka LST EN 1335-1:2000 „Įstaigų baldai. Įstaigų darbo kėdės. 1 dalis. Matmenys. Matmenų nustatymas“, LST EN 1335-2:2009 „Įstaigų baldai. Įstaigų darbo kėdės. 2 dalis. Saugos reikalavimai“ standartą ir LST EN 1335-3:2009 „Įstaigų baldai. Įstaigų darbo kėdės. 3 dalis. Bandymo metodai.“ arba lygiavertį* (taikoma techninės specifikacijos priedo Prekių techniniai reikalavimai 1 eilutėje nurodytoms prekėms).</w:t>
      </w:r>
    </w:p>
    <w:p w14:paraId="1E7CF339" w14:textId="77777777" w:rsidR="007B7914" w:rsidRPr="00D5609A" w:rsidRDefault="007B7914" w:rsidP="007B7914">
      <w:pPr>
        <w:tabs>
          <w:tab w:val="left" w:pos="0"/>
          <w:tab w:val="left" w:pos="567"/>
        </w:tabs>
        <w:spacing w:after="0" w:line="240" w:lineRule="auto"/>
        <w:ind w:right="-1"/>
        <w:jc w:val="both"/>
        <w:rPr>
          <w:rFonts w:ascii="Times New Roman" w:eastAsia="Arial Unicode MS" w:hAnsi="Times New Roman" w:cs="Times New Roman"/>
          <w:sz w:val="24"/>
          <w:szCs w:val="24"/>
          <w:lang w:eastAsia="zh-CN"/>
        </w:rPr>
      </w:pPr>
      <w:r w:rsidRPr="00D5609A">
        <w:rPr>
          <w:rFonts w:ascii="Times New Roman" w:eastAsia="Arial Unicode MS" w:hAnsi="Times New Roman" w:cs="Times New Roman"/>
          <w:sz w:val="24"/>
          <w:szCs w:val="24"/>
          <w:lang w:eastAsia="zh-CN"/>
        </w:rPr>
        <w:t xml:space="preserve">Pastaba:* lygiaverčiu standartu laikomas toks standartas, kuriame nustatyti reikalavimai visiškai atitinka arba viršija nurodyto standarto reikalavimus. Lygiavertiškumo įrodymas yra Tiekėjo pareiga. </w:t>
      </w:r>
    </w:p>
    <w:p w14:paraId="3A8B8DE0" w14:textId="77777777" w:rsidR="007B7914" w:rsidRPr="00D5609A" w:rsidRDefault="007B7914" w:rsidP="007B7914">
      <w:pPr>
        <w:tabs>
          <w:tab w:val="left" w:pos="142"/>
          <w:tab w:val="left" w:pos="426"/>
          <w:tab w:val="left" w:pos="709"/>
        </w:tabs>
        <w:spacing w:after="0" w:line="240" w:lineRule="auto"/>
        <w:jc w:val="both"/>
        <w:rPr>
          <w:rFonts w:ascii="Times New Roman" w:eastAsia="Times New Roman" w:hAnsi="Times New Roman" w:cs="Times New Roman"/>
          <w:b/>
          <w:bCs/>
          <w:color w:val="000000"/>
          <w:sz w:val="24"/>
          <w:szCs w:val="24"/>
        </w:rPr>
      </w:pPr>
      <w:r w:rsidRPr="00D5609A">
        <w:rPr>
          <w:rFonts w:ascii="Times New Roman" w:eastAsia="Times New Roman" w:hAnsi="Times New Roman" w:cs="Times New Roman"/>
          <w:b/>
          <w:bCs/>
          <w:color w:val="000000"/>
          <w:sz w:val="24"/>
          <w:szCs w:val="24"/>
        </w:rPr>
        <w:t>1 lentelė. Kėdžių techniniai aprašymai</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5812"/>
        <w:gridCol w:w="850"/>
      </w:tblGrid>
      <w:tr w:rsidR="007B7914" w:rsidRPr="00D5609A" w14:paraId="2A7E2BA0" w14:textId="77777777" w:rsidTr="00B740E1">
        <w:trPr>
          <w:trHeight w:val="516"/>
          <w:tblHeader/>
        </w:trPr>
        <w:tc>
          <w:tcPr>
            <w:tcW w:w="567" w:type="dxa"/>
            <w:shd w:val="clear" w:color="auto" w:fill="auto"/>
            <w:vAlign w:val="center"/>
          </w:tcPr>
          <w:p w14:paraId="16CE9EBF"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Eil. Nr.</w:t>
            </w:r>
          </w:p>
        </w:tc>
        <w:tc>
          <w:tcPr>
            <w:tcW w:w="1418" w:type="dxa"/>
            <w:shd w:val="clear" w:color="auto" w:fill="auto"/>
            <w:vAlign w:val="center"/>
          </w:tcPr>
          <w:p w14:paraId="0FACCD19" w14:textId="77777777" w:rsidR="007B7914" w:rsidRPr="00D5609A" w:rsidRDefault="007B7914" w:rsidP="00B740E1">
            <w:pPr>
              <w:suppressAutoHyphens/>
              <w:spacing w:after="0" w:line="240" w:lineRule="auto"/>
              <w:ind w:firstLine="37"/>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Pavadinimas</w:t>
            </w:r>
          </w:p>
        </w:tc>
        <w:tc>
          <w:tcPr>
            <w:tcW w:w="1559" w:type="dxa"/>
            <w:shd w:val="clear" w:color="auto" w:fill="auto"/>
            <w:vAlign w:val="center"/>
          </w:tcPr>
          <w:p w14:paraId="7344E509"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Matmenys* (mm)</w:t>
            </w:r>
          </w:p>
        </w:tc>
        <w:tc>
          <w:tcPr>
            <w:tcW w:w="5812" w:type="dxa"/>
            <w:shd w:val="clear" w:color="auto" w:fill="auto"/>
            <w:vAlign w:val="center"/>
          </w:tcPr>
          <w:p w14:paraId="351389E0"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Prekių aprašymas</w:t>
            </w:r>
          </w:p>
        </w:tc>
        <w:tc>
          <w:tcPr>
            <w:tcW w:w="850" w:type="dxa"/>
            <w:shd w:val="clear" w:color="auto" w:fill="auto"/>
            <w:vAlign w:val="center"/>
          </w:tcPr>
          <w:p w14:paraId="499D16BD"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Kiekis</w:t>
            </w:r>
          </w:p>
        </w:tc>
      </w:tr>
      <w:tr w:rsidR="007B7914" w:rsidRPr="00D5609A" w14:paraId="4DD17E9B" w14:textId="77777777" w:rsidTr="00B740E1">
        <w:tc>
          <w:tcPr>
            <w:tcW w:w="567" w:type="dxa"/>
            <w:shd w:val="clear" w:color="auto" w:fill="auto"/>
            <w:vAlign w:val="center"/>
          </w:tcPr>
          <w:p w14:paraId="455C603B"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w:t>
            </w:r>
          </w:p>
        </w:tc>
        <w:tc>
          <w:tcPr>
            <w:tcW w:w="1418" w:type="dxa"/>
            <w:shd w:val="clear" w:color="auto" w:fill="auto"/>
            <w:vAlign w:val="center"/>
          </w:tcPr>
          <w:p w14:paraId="03E49FBD"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Darbo kėdė</w:t>
            </w:r>
          </w:p>
          <w:p w14:paraId="74D0C324"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(DK-01) </w:t>
            </w:r>
          </w:p>
        </w:tc>
        <w:tc>
          <w:tcPr>
            <w:tcW w:w="1559" w:type="dxa"/>
            <w:shd w:val="clear" w:color="auto" w:fill="auto"/>
            <w:vAlign w:val="center"/>
          </w:tcPr>
          <w:p w14:paraId="07DB1FBD"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W=700 </w:t>
            </w:r>
            <w:r w:rsidRPr="00D5609A">
              <w:rPr>
                <w:rFonts w:ascii="Times New Roman" w:eastAsia="Calibri" w:hAnsi="Times New Roman" w:cs="Times New Roman"/>
              </w:rPr>
              <w:t>(±30)</w:t>
            </w:r>
          </w:p>
          <w:p w14:paraId="7C5D393F"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D=700 </w:t>
            </w:r>
            <w:r w:rsidRPr="00D5609A">
              <w:rPr>
                <w:rFonts w:ascii="Times New Roman" w:eastAsia="Calibri" w:hAnsi="Times New Roman" w:cs="Times New Roman"/>
              </w:rPr>
              <w:t>(±30)</w:t>
            </w:r>
          </w:p>
          <w:p w14:paraId="1F6A30CE"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1</w:t>
            </w:r>
            <w:r w:rsidRPr="00D5609A">
              <w:rPr>
                <w:rFonts w:ascii="Times New Roman" w:eastAsia="Times New Roman" w:hAnsi="Times New Roman" w:cs="Times New Roman"/>
                <w:lang w:eastAsia="lt-LT"/>
              </w:rPr>
              <w:t xml:space="preserve">=1015 </w:t>
            </w:r>
            <w:r w:rsidRPr="00D5609A">
              <w:rPr>
                <w:rFonts w:ascii="Times New Roman" w:eastAsia="Calibri" w:hAnsi="Times New Roman" w:cs="Times New Roman"/>
              </w:rPr>
              <w:t>(±30)</w:t>
            </w:r>
          </w:p>
          <w:p w14:paraId="47DF1FAF"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2</w:t>
            </w:r>
            <w:r w:rsidRPr="00D5609A">
              <w:rPr>
                <w:rFonts w:ascii="Times New Roman" w:eastAsia="Calibri" w:hAnsi="Times New Roman" w:cs="Times New Roman"/>
                <w:lang w:val="en-US"/>
              </w:rPr>
              <w:t>=</w:t>
            </w:r>
            <w:r w:rsidRPr="00D5609A">
              <w:rPr>
                <w:rFonts w:ascii="Times New Roman" w:eastAsia="Times New Roman" w:hAnsi="Times New Roman" w:cs="Times New Roman"/>
                <w:lang w:eastAsia="lt-LT"/>
              </w:rPr>
              <w:t xml:space="preserve">1145 </w:t>
            </w:r>
            <w:r w:rsidRPr="00D5609A">
              <w:rPr>
                <w:rFonts w:ascii="Times New Roman" w:eastAsia="Calibri" w:hAnsi="Times New Roman" w:cs="Times New Roman"/>
              </w:rPr>
              <w:t>(±30)</w:t>
            </w:r>
          </w:p>
          <w:p w14:paraId="55CF560A"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=420 </w:t>
            </w:r>
            <w:r w:rsidRPr="00D5609A">
              <w:rPr>
                <w:rFonts w:ascii="Times New Roman" w:eastAsia="Calibri" w:hAnsi="Times New Roman" w:cs="Times New Roman"/>
              </w:rPr>
              <w:t>(±20)</w:t>
            </w:r>
          </w:p>
          <w:p w14:paraId="0E2492D4"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bCs/>
                <w:lang w:eastAsia="ar-SA"/>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=535 </w:t>
            </w:r>
            <w:r w:rsidRPr="00D5609A">
              <w:rPr>
                <w:rFonts w:ascii="Times New Roman" w:eastAsia="Calibri" w:hAnsi="Times New Roman" w:cs="Times New Roman"/>
              </w:rPr>
              <w:t>(±20)</w:t>
            </w:r>
          </w:p>
          <w:p w14:paraId="2C2196A6" w14:textId="77777777" w:rsidR="007B7914" w:rsidRPr="00D5609A" w:rsidRDefault="007B7914" w:rsidP="00B740E1">
            <w:pPr>
              <w:suppressAutoHyphens/>
              <w:spacing w:after="0" w:line="240" w:lineRule="auto"/>
              <w:ind w:left="-111" w:right="-111"/>
              <w:jc w:val="center"/>
              <w:rPr>
                <w:rFonts w:ascii="Times New Roman" w:eastAsia="Times New Roman" w:hAnsi="Times New Roman" w:cs="Times New Roman"/>
                <w:lang w:eastAsia="lt-LT"/>
              </w:rPr>
            </w:pPr>
          </w:p>
        </w:tc>
        <w:tc>
          <w:tcPr>
            <w:tcW w:w="5812" w:type="dxa"/>
            <w:shd w:val="clear" w:color="auto" w:fill="auto"/>
            <w:vAlign w:val="center"/>
          </w:tcPr>
          <w:p w14:paraId="1F9D2AA9" w14:textId="77777777" w:rsidR="007B7914" w:rsidRPr="00D5609A" w:rsidRDefault="007B7914"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Darbo kėdę turi sudaryti tinkleliu aptrauktas atlošas ir gobelenu aptraukta sėdimoji kėdės dalis, kuri turi būti tvirtinama ant penkiašakės stiklo pluoštu sustiprintos juodo plastiko bazės su ratukais, kurie pritaikyti kietai ir minkštai grindų dangai. Kėdės atlošas ir sėdimoji dalis turi būti atskiri ir reguliuotis nepriklausomai vienas nuo kito. Kėdė turi turėti sėdimosios dalies aukščio reguliavimo mechanizmą ir sinchroninį mechanizmą. Sinchroninis mechanizmas turi būti su saugaus grįžimo į pradinę padėtį funkcija („anti-shock“ arba lygiaverte) ir fiksuojamomis ne mažiau kaip trimis padėtimis. Kėdė turi turėti gylio reguliavimo funkciją. Kėdės atlošas – lenktos formos. Kėdės sėdimoji dalis turi būti išformuota anatomiškai, plati ir gili. Siekiant sumažinti darbo metu kojoms tenkantį spaudimą, priekinė sėdimosios dalies pusė turi būti su nuolydžiu ir su užapvalinta briauna. Turi būti sumontuoti ne mažiau kaip dvejomis kryptimis reguliuojami porankiai, kurie pritvirtinti po sėdimąja kėdės dalimi. Viršutinė porankių dalis turi būti padengta minkštu poliuretanu arba lygiaverte medžiaga, apatinė dalis pagaminta iš plastiko. Porankių viršus turi būti reguliuojamas ne mažiau kaip  pirmyn ir atgal. Sėdimoji dalis turi būti aptraukta gobelenu. Gobeleno sudėtis turi būti 100% poliesteris, o gobeleno paviršinis tankis ne mažesnis kaip 470 g/m</w:t>
            </w:r>
            <w:r w:rsidRPr="00D5609A">
              <w:rPr>
                <w:rFonts w:ascii="Times New Roman" w:eastAsia="Times New Roman" w:hAnsi="Times New Roman" w:cs="Times New Roman"/>
                <w:vertAlign w:val="superscript"/>
                <w:lang w:eastAsia="lt-LT"/>
              </w:rPr>
              <w:t>2</w:t>
            </w:r>
            <w:r w:rsidRPr="00D5609A">
              <w:rPr>
                <w:rFonts w:ascii="Times New Roman" w:eastAsia="Times New Roman" w:hAnsi="Times New Roman" w:cs="Times New Roman"/>
                <w:lang w:eastAsia="lt-LT"/>
              </w:rPr>
              <w:t xml:space="preserve">. Gobeleno atsparumas trinčiai turi būti ne mažesnis kaip 100 000 ciklų (pagal Martindeilo skalę). </w:t>
            </w:r>
          </w:p>
        </w:tc>
        <w:tc>
          <w:tcPr>
            <w:tcW w:w="850" w:type="dxa"/>
            <w:shd w:val="clear" w:color="auto" w:fill="auto"/>
            <w:vAlign w:val="center"/>
          </w:tcPr>
          <w:p w14:paraId="6B7A4C64"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22</w:t>
            </w:r>
          </w:p>
        </w:tc>
      </w:tr>
      <w:tr w:rsidR="007B7914" w:rsidRPr="00D5609A" w14:paraId="1A486382" w14:textId="77777777" w:rsidTr="00B740E1">
        <w:tc>
          <w:tcPr>
            <w:tcW w:w="567" w:type="dxa"/>
            <w:shd w:val="clear" w:color="auto" w:fill="auto"/>
            <w:vAlign w:val="center"/>
          </w:tcPr>
          <w:p w14:paraId="78F2D7E6"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val="en-US" w:eastAsia="ar-SA"/>
              </w:rPr>
            </w:pPr>
            <w:r w:rsidRPr="00D5609A">
              <w:rPr>
                <w:rFonts w:ascii="Times New Roman" w:eastAsia="Times New Roman" w:hAnsi="Times New Roman" w:cs="Times New Roman"/>
                <w:bCs/>
                <w:lang w:val="en-US" w:eastAsia="ar-SA"/>
              </w:rPr>
              <w:t>2</w:t>
            </w:r>
          </w:p>
        </w:tc>
        <w:tc>
          <w:tcPr>
            <w:tcW w:w="1418" w:type="dxa"/>
            <w:shd w:val="clear" w:color="auto" w:fill="auto"/>
            <w:vAlign w:val="center"/>
          </w:tcPr>
          <w:p w14:paraId="1751795C"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Darbo kėdė</w:t>
            </w:r>
          </w:p>
          <w:p w14:paraId="2BA979FE"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(DK-03)</w:t>
            </w:r>
          </w:p>
        </w:tc>
        <w:tc>
          <w:tcPr>
            <w:tcW w:w="1559" w:type="dxa"/>
            <w:shd w:val="clear" w:color="auto" w:fill="auto"/>
            <w:vAlign w:val="center"/>
          </w:tcPr>
          <w:p w14:paraId="1FB9C843"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W=640 </w:t>
            </w:r>
            <w:r w:rsidRPr="00D5609A">
              <w:rPr>
                <w:rFonts w:ascii="Times New Roman" w:eastAsia="Calibri" w:hAnsi="Times New Roman" w:cs="Times New Roman"/>
              </w:rPr>
              <w:t>(±30)</w:t>
            </w:r>
          </w:p>
          <w:p w14:paraId="354474A7"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D=640 </w:t>
            </w:r>
            <w:r w:rsidRPr="00D5609A">
              <w:rPr>
                <w:rFonts w:ascii="Times New Roman" w:eastAsia="Calibri" w:hAnsi="Times New Roman" w:cs="Times New Roman"/>
              </w:rPr>
              <w:t>(±30)</w:t>
            </w:r>
          </w:p>
          <w:p w14:paraId="1E3BFAFE"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=780 </w:t>
            </w:r>
            <w:r w:rsidRPr="00D5609A">
              <w:rPr>
                <w:rFonts w:ascii="Times New Roman" w:eastAsia="Calibri" w:hAnsi="Times New Roman" w:cs="Times New Roman"/>
              </w:rPr>
              <w:t>(±30)</w:t>
            </w:r>
          </w:p>
          <w:p w14:paraId="7E18B152"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=910 </w:t>
            </w:r>
            <w:r w:rsidRPr="00D5609A">
              <w:rPr>
                <w:rFonts w:ascii="Times New Roman" w:eastAsia="Calibri" w:hAnsi="Times New Roman" w:cs="Times New Roman"/>
              </w:rPr>
              <w:t>(±30)</w:t>
            </w:r>
          </w:p>
          <w:p w14:paraId="145788D5"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=380 </w:t>
            </w:r>
            <w:r w:rsidRPr="00D5609A">
              <w:rPr>
                <w:rFonts w:ascii="Times New Roman" w:eastAsia="Calibri" w:hAnsi="Times New Roman" w:cs="Times New Roman"/>
              </w:rPr>
              <w:t>(±20)</w:t>
            </w:r>
          </w:p>
          <w:p w14:paraId="7D291889"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bCs/>
                <w:lang w:eastAsia="ar-SA"/>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=510 </w:t>
            </w:r>
            <w:r w:rsidRPr="00D5609A">
              <w:rPr>
                <w:rFonts w:ascii="Times New Roman" w:eastAsia="Calibri" w:hAnsi="Times New Roman" w:cs="Times New Roman"/>
              </w:rPr>
              <w:t>(±20)</w:t>
            </w:r>
          </w:p>
          <w:p w14:paraId="2C9F32B6"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Arial" w:eastAsia="Calibri" w:hAnsi="Arial" w:cs="Arial"/>
                <w:color w:val="444444"/>
              </w:rPr>
              <w:br/>
            </w:r>
          </w:p>
        </w:tc>
        <w:tc>
          <w:tcPr>
            <w:tcW w:w="5812" w:type="dxa"/>
            <w:shd w:val="clear" w:color="auto" w:fill="auto"/>
            <w:vAlign w:val="center"/>
          </w:tcPr>
          <w:p w14:paraId="72693C2B" w14:textId="77777777" w:rsidR="007B7914" w:rsidRPr="00D5609A" w:rsidRDefault="007B7914"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Kėdės danga gali būti gobelenas, dirbtinė oda, „supertec“ arba lygiavertė danga, kuri turi būti tvirtinama ant penkiašakės stiklo pluoštu sustiprintos juodo plastiko bazės su ratukais, kurie pritaikyti kietai ir minkštai grindų dangai. Kėdės korpusas turi būti vientisos konstrukcijos, gaminamas iš presuotos faneros, aptrauktos gobelenu ,kurio sudėtis turi būti 100% poliesteris. Gobeleno paviršinis tankis ne mažiau kaip 470 g/m</w:t>
            </w:r>
            <w:r w:rsidRPr="00D5609A">
              <w:rPr>
                <w:rFonts w:ascii="Times New Roman" w:eastAsia="Times New Roman" w:hAnsi="Times New Roman" w:cs="Times New Roman"/>
                <w:vertAlign w:val="superscript"/>
                <w:lang w:eastAsia="lt-LT"/>
              </w:rPr>
              <w:t>2</w:t>
            </w:r>
            <w:r w:rsidRPr="00D5609A">
              <w:rPr>
                <w:rFonts w:ascii="Times New Roman" w:eastAsia="Times New Roman" w:hAnsi="Times New Roman" w:cs="Times New Roman"/>
                <w:lang w:eastAsia="lt-LT"/>
              </w:rPr>
              <w:t xml:space="preserve">, atsparumas trinčiai ne mažesnis kaip 100 000 ciklų (pagal Martindeilo skalę). </w:t>
            </w:r>
          </w:p>
        </w:tc>
        <w:tc>
          <w:tcPr>
            <w:tcW w:w="850" w:type="dxa"/>
            <w:shd w:val="clear" w:color="auto" w:fill="auto"/>
            <w:vAlign w:val="center"/>
          </w:tcPr>
          <w:p w14:paraId="4A362579"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9</w:t>
            </w:r>
          </w:p>
        </w:tc>
      </w:tr>
      <w:tr w:rsidR="007B7914" w:rsidRPr="00D5609A" w14:paraId="04470434" w14:textId="77777777" w:rsidTr="00B740E1">
        <w:tc>
          <w:tcPr>
            <w:tcW w:w="567" w:type="dxa"/>
            <w:shd w:val="clear" w:color="auto" w:fill="auto"/>
            <w:vAlign w:val="center"/>
          </w:tcPr>
          <w:p w14:paraId="661E2FD1"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3</w:t>
            </w:r>
          </w:p>
        </w:tc>
        <w:tc>
          <w:tcPr>
            <w:tcW w:w="1418" w:type="dxa"/>
            <w:shd w:val="clear" w:color="auto" w:fill="auto"/>
            <w:vAlign w:val="center"/>
          </w:tcPr>
          <w:p w14:paraId="2F1D4A9B"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Vadovo kėdė</w:t>
            </w:r>
          </w:p>
          <w:p w14:paraId="11C3E272"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(DK-04)</w:t>
            </w:r>
          </w:p>
        </w:tc>
        <w:tc>
          <w:tcPr>
            <w:tcW w:w="1559" w:type="dxa"/>
            <w:shd w:val="clear" w:color="auto" w:fill="auto"/>
            <w:vAlign w:val="center"/>
          </w:tcPr>
          <w:p w14:paraId="22D2E37E"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W</w:t>
            </w:r>
            <w:r w:rsidRPr="00D5609A">
              <w:rPr>
                <w:rFonts w:ascii="Times New Roman" w:eastAsia="Times New Roman" w:hAnsi="Times New Roman" w:cs="Times New Roman"/>
                <w:lang w:val="en-US" w:eastAsia="lt-LT"/>
              </w:rPr>
              <w:t>=</w:t>
            </w:r>
            <w:r w:rsidRPr="00D5609A">
              <w:rPr>
                <w:rFonts w:ascii="Times New Roman" w:eastAsia="Times New Roman" w:hAnsi="Times New Roman" w:cs="Times New Roman"/>
                <w:lang w:eastAsia="lt-LT"/>
              </w:rPr>
              <w:t xml:space="preserve">490 </w:t>
            </w:r>
            <w:r w:rsidRPr="00D5609A">
              <w:rPr>
                <w:rFonts w:ascii="Times New Roman" w:eastAsia="Calibri" w:hAnsi="Times New Roman" w:cs="Times New Roman"/>
              </w:rPr>
              <w:t>(±20)</w:t>
            </w:r>
          </w:p>
          <w:p w14:paraId="0F6E1578"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D=470 </w:t>
            </w:r>
            <w:r w:rsidRPr="00D5609A">
              <w:rPr>
                <w:rFonts w:ascii="Times New Roman" w:eastAsia="Calibri" w:hAnsi="Times New Roman" w:cs="Times New Roman"/>
              </w:rPr>
              <w:t>(±20)</w:t>
            </w:r>
          </w:p>
          <w:p w14:paraId="0D3A5505"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=1200 </w:t>
            </w:r>
            <w:r w:rsidRPr="00D5609A">
              <w:rPr>
                <w:rFonts w:ascii="Times New Roman" w:eastAsia="Calibri" w:hAnsi="Times New Roman" w:cs="Times New Roman"/>
              </w:rPr>
              <w:t>(±30)</w:t>
            </w:r>
          </w:p>
          <w:p w14:paraId="11DC4BAE" w14:textId="77777777" w:rsidR="007B7914" w:rsidRPr="00D5609A" w:rsidRDefault="007B7914" w:rsidP="00B740E1">
            <w:pPr>
              <w:suppressAutoHyphens/>
              <w:spacing w:after="0" w:line="240" w:lineRule="auto"/>
              <w:ind w:left="-176" w:right="-189"/>
              <w:jc w:val="center"/>
              <w:rPr>
                <w:rFonts w:ascii="Times New Roman" w:eastAsia="Calibri" w:hAnsi="Times New Roman" w:cs="Times New Roman"/>
              </w:rPr>
            </w:pPr>
            <w:r w:rsidRPr="00D5609A">
              <w:rPr>
                <w:rFonts w:ascii="Times New Roman" w:eastAsia="Times New Roman" w:hAnsi="Times New Roman" w:cs="Times New Roman"/>
                <w:lang w:eastAsia="lt-LT"/>
              </w:rPr>
              <w:t>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=1300 </w:t>
            </w:r>
            <w:r w:rsidRPr="00D5609A">
              <w:rPr>
                <w:rFonts w:ascii="Times New Roman" w:eastAsia="Calibri" w:hAnsi="Times New Roman" w:cs="Times New Roman"/>
              </w:rPr>
              <w:t>(±30)</w:t>
            </w:r>
          </w:p>
          <w:p w14:paraId="4B5001CA"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1</w:t>
            </w:r>
            <w:r w:rsidRPr="00D5609A">
              <w:rPr>
                <w:rFonts w:ascii="Times New Roman" w:eastAsia="Times New Roman" w:hAnsi="Times New Roman" w:cs="Times New Roman"/>
                <w:lang w:eastAsia="lt-LT"/>
              </w:rPr>
              <w:t xml:space="preserve">=420 </w:t>
            </w:r>
            <w:r w:rsidRPr="00D5609A">
              <w:rPr>
                <w:rFonts w:ascii="Times New Roman" w:eastAsia="Calibri" w:hAnsi="Times New Roman" w:cs="Times New Roman"/>
              </w:rPr>
              <w:t>(±20)</w:t>
            </w:r>
          </w:p>
          <w:p w14:paraId="57618955"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SH</w:t>
            </w:r>
            <w:r w:rsidRPr="00D5609A">
              <w:rPr>
                <w:rFonts w:ascii="Times New Roman" w:eastAsia="Times New Roman" w:hAnsi="Times New Roman" w:cs="Times New Roman"/>
                <w:vertAlign w:val="subscript"/>
                <w:lang w:eastAsia="lt-LT"/>
              </w:rPr>
              <w:t>2</w:t>
            </w:r>
            <w:r w:rsidRPr="00D5609A">
              <w:rPr>
                <w:rFonts w:ascii="Times New Roman" w:eastAsia="Times New Roman" w:hAnsi="Times New Roman" w:cs="Times New Roman"/>
                <w:lang w:eastAsia="lt-LT"/>
              </w:rPr>
              <w:t xml:space="preserve">=520 </w:t>
            </w:r>
            <w:r w:rsidRPr="00D5609A">
              <w:rPr>
                <w:rFonts w:ascii="Times New Roman" w:eastAsia="Calibri" w:hAnsi="Times New Roman" w:cs="Times New Roman"/>
              </w:rPr>
              <w:t>(±20)</w:t>
            </w:r>
          </w:p>
        </w:tc>
        <w:tc>
          <w:tcPr>
            <w:tcW w:w="5812" w:type="dxa"/>
            <w:shd w:val="clear" w:color="auto" w:fill="auto"/>
            <w:vAlign w:val="center"/>
          </w:tcPr>
          <w:p w14:paraId="53DE71BF" w14:textId="77777777" w:rsidR="007B7914" w:rsidRPr="00D5609A" w:rsidRDefault="007B7914"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Kėdės sėdimąją dalį ir atlošą turi sudaryti oda, eko oda ar gobelenu aptraukta vientisa buko ar lygiavertės medienos dalis, kuri iš vidinės pusės padengta poliuretano ar lygiavertės medžiagos pagalvėlėmis, aptrauktomis ta pačia danga. Sėdimoji dalis ir atlošas tvirtinami ant penkiašakės poliruoto aliuminio bazės su chromuotais „kiaurais“ ratukais. Kėdė turi turėti aukščio reguliavimo funkciją ir sinchroninį mechanizmą su saugaus grįžimo į pradinę padėtį funkcija („anti-shock“ arba lygiaverte), fiksuojamomis ne mažiau kaip 4 padėtimis. Porankiai turi būti pagaminti iš plokščios chromuoto plieno </w:t>
            </w:r>
            <w:r w:rsidRPr="00D5609A">
              <w:rPr>
                <w:rFonts w:ascii="Times New Roman" w:eastAsia="Times New Roman" w:hAnsi="Times New Roman" w:cs="Times New Roman"/>
                <w:lang w:eastAsia="lt-LT"/>
              </w:rPr>
              <w:lastRenderedPageBreak/>
              <w:t>konstrukcijos, dengtos medienos ir poliuretano ar lygiavertės medžiagos junginiu, kuris dengtas ta pačia danga kaip ir kėdė.</w:t>
            </w:r>
          </w:p>
        </w:tc>
        <w:tc>
          <w:tcPr>
            <w:tcW w:w="850" w:type="dxa"/>
            <w:shd w:val="clear" w:color="auto" w:fill="auto"/>
            <w:vAlign w:val="center"/>
          </w:tcPr>
          <w:p w14:paraId="17BE8D7F"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lastRenderedPageBreak/>
              <w:t>1</w:t>
            </w:r>
          </w:p>
        </w:tc>
      </w:tr>
      <w:tr w:rsidR="007B7914" w:rsidRPr="00D5609A" w14:paraId="5FB8A383" w14:textId="77777777" w:rsidTr="00B740E1">
        <w:tc>
          <w:tcPr>
            <w:tcW w:w="567" w:type="dxa"/>
            <w:shd w:val="clear" w:color="auto" w:fill="auto"/>
            <w:vAlign w:val="center"/>
          </w:tcPr>
          <w:p w14:paraId="3378E1CF"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4</w:t>
            </w:r>
          </w:p>
        </w:tc>
        <w:tc>
          <w:tcPr>
            <w:tcW w:w="1418" w:type="dxa"/>
            <w:shd w:val="clear" w:color="auto" w:fill="auto"/>
            <w:vAlign w:val="center"/>
          </w:tcPr>
          <w:p w14:paraId="3F7B8E67"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Konferen-cinė kėdė</w:t>
            </w:r>
          </w:p>
          <w:p w14:paraId="0212D4D9" w14:textId="77777777" w:rsidR="007B7914" w:rsidRPr="00D5609A" w:rsidRDefault="007B7914" w:rsidP="00B740E1">
            <w:pPr>
              <w:suppressAutoHyphens/>
              <w:spacing w:after="0" w:line="240" w:lineRule="auto"/>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(KK-01)</w:t>
            </w:r>
          </w:p>
        </w:tc>
        <w:tc>
          <w:tcPr>
            <w:tcW w:w="1559" w:type="dxa"/>
            <w:shd w:val="clear" w:color="auto" w:fill="auto"/>
            <w:vAlign w:val="center"/>
          </w:tcPr>
          <w:p w14:paraId="277C2AA0"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W=500 </w:t>
            </w:r>
            <w:r w:rsidRPr="00D5609A">
              <w:rPr>
                <w:rFonts w:ascii="Times New Roman" w:eastAsia="Calibri" w:hAnsi="Times New Roman" w:cs="Times New Roman"/>
              </w:rPr>
              <w:t>(±20)</w:t>
            </w:r>
          </w:p>
          <w:p w14:paraId="617C12E5"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D=530 </w:t>
            </w:r>
            <w:r w:rsidRPr="00D5609A">
              <w:rPr>
                <w:rFonts w:ascii="Times New Roman" w:eastAsia="Calibri" w:hAnsi="Times New Roman" w:cs="Times New Roman"/>
              </w:rPr>
              <w:t>(±20)</w:t>
            </w:r>
          </w:p>
          <w:p w14:paraId="6FEDB2B4"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H=880 </w:t>
            </w:r>
            <w:r w:rsidRPr="00D5609A">
              <w:rPr>
                <w:rFonts w:ascii="Times New Roman" w:eastAsia="Calibri" w:hAnsi="Times New Roman" w:cs="Times New Roman"/>
              </w:rPr>
              <w:t>(±30)</w:t>
            </w:r>
          </w:p>
          <w:p w14:paraId="0CEDA997" w14:textId="77777777" w:rsidR="007B7914" w:rsidRPr="00D5609A" w:rsidRDefault="007B7914" w:rsidP="00B740E1">
            <w:pPr>
              <w:suppressAutoHyphens/>
              <w:spacing w:after="0" w:line="240" w:lineRule="auto"/>
              <w:ind w:left="-176" w:right="-189"/>
              <w:jc w:val="center"/>
              <w:rPr>
                <w:rFonts w:ascii="Times New Roman" w:eastAsia="Times New Roman" w:hAnsi="Times New Roman" w:cs="Times New Roman"/>
                <w:bCs/>
                <w:lang w:eastAsia="ar-SA"/>
              </w:rPr>
            </w:pPr>
            <w:r w:rsidRPr="00D5609A">
              <w:rPr>
                <w:rFonts w:ascii="Times New Roman" w:eastAsia="Times New Roman" w:hAnsi="Times New Roman" w:cs="Times New Roman"/>
                <w:lang w:eastAsia="lt-LT"/>
              </w:rPr>
              <w:t xml:space="preserve">SH=460 </w:t>
            </w:r>
            <w:r w:rsidRPr="00D5609A">
              <w:rPr>
                <w:rFonts w:ascii="Times New Roman" w:eastAsia="Calibri" w:hAnsi="Times New Roman" w:cs="Times New Roman"/>
              </w:rPr>
              <w:t>(±20)</w:t>
            </w:r>
          </w:p>
          <w:p w14:paraId="148FC59F" w14:textId="77777777" w:rsidR="007B7914" w:rsidRPr="00D5609A" w:rsidRDefault="007B7914" w:rsidP="00B740E1">
            <w:pPr>
              <w:suppressAutoHyphens/>
              <w:spacing w:after="0" w:line="240" w:lineRule="auto"/>
              <w:ind w:left="-111" w:right="-111"/>
              <w:jc w:val="center"/>
              <w:rPr>
                <w:rFonts w:ascii="Times New Roman" w:eastAsia="Times New Roman" w:hAnsi="Times New Roman" w:cs="Times New Roman"/>
                <w:lang w:eastAsia="lt-LT"/>
              </w:rPr>
            </w:pPr>
          </w:p>
        </w:tc>
        <w:tc>
          <w:tcPr>
            <w:tcW w:w="5812" w:type="dxa"/>
            <w:shd w:val="clear" w:color="auto" w:fill="auto"/>
            <w:vAlign w:val="center"/>
          </w:tcPr>
          <w:p w14:paraId="6A9D2E57" w14:textId="77777777" w:rsidR="007B7914" w:rsidRPr="00D5609A" w:rsidRDefault="007B7914"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Kėdės korpusas turi būti vientisos konstrukcijos, pagamintas iš presuotos faneros, aptrauktos gobelenu, kurio sudėtis turi būti 100% poliesteris (paviršinis tankis ne mažiau kaip 470 g/m</w:t>
            </w:r>
            <w:r w:rsidRPr="00D5609A">
              <w:rPr>
                <w:rFonts w:ascii="Times New Roman" w:eastAsia="Times New Roman" w:hAnsi="Times New Roman" w:cs="Times New Roman"/>
                <w:vertAlign w:val="superscript"/>
                <w:lang w:eastAsia="lt-LT"/>
              </w:rPr>
              <w:t>2</w:t>
            </w:r>
            <w:r w:rsidRPr="00D5609A">
              <w:rPr>
                <w:rFonts w:ascii="Times New Roman" w:eastAsia="Times New Roman" w:hAnsi="Times New Roman" w:cs="Times New Roman"/>
                <w:lang w:eastAsia="lt-LT"/>
              </w:rPr>
              <w:t>, atsparumas trinčiai ne mažesnis kaip 100 000 ciklų (pagal Martindeilo skalę). Korpusas turi būti pritvirtintas ant metalinio rėmo. Rėmas turi būti vientisos konstrukcijos, pagamintas iš milteliniu būdu dažyto plieninio vamzdžio ir sudaryti uždarą kėdės bazę. Turi būti galimybė kėdes sandėliuoti vieną ant kitos (ne mažiau kaip 5 vnt.), nepažeidžiant gaminio elementų.</w:t>
            </w:r>
            <w:r w:rsidRPr="00D5609A">
              <w:rPr>
                <w:rFonts w:ascii="Arial" w:eastAsia="Calibri" w:hAnsi="Arial" w:cs="Arial"/>
                <w:color w:val="444444"/>
                <w:shd w:val="clear" w:color="auto" w:fill="F8F8F8"/>
              </w:rPr>
              <w:t xml:space="preserve"> </w:t>
            </w:r>
          </w:p>
        </w:tc>
        <w:tc>
          <w:tcPr>
            <w:tcW w:w="850" w:type="dxa"/>
            <w:shd w:val="clear" w:color="auto" w:fill="auto"/>
            <w:vAlign w:val="center"/>
          </w:tcPr>
          <w:p w14:paraId="2B07A7AF"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6</w:t>
            </w:r>
          </w:p>
        </w:tc>
      </w:tr>
      <w:tr w:rsidR="007B7914" w:rsidRPr="00D5609A" w14:paraId="5EAED183" w14:textId="77777777" w:rsidTr="00B740E1">
        <w:tc>
          <w:tcPr>
            <w:tcW w:w="567" w:type="dxa"/>
            <w:shd w:val="clear" w:color="auto" w:fill="auto"/>
            <w:vAlign w:val="center"/>
          </w:tcPr>
          <w:p w14:paraId="4965C89B"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5</w:t>
            </w:r>
          </w:p>
        </w:tc>
        <w:tc>
          <w:tcPr>
            <w:tcW w:w="1418" w:type="dxa"/>
            <w:shd w:val="clear" w:color="auto" w:fill="auto"/>
            <w:vAlign w:val="center"/>
          </w:tcPr>
          <w:p w14:paraId="60CDD15A"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Lankytojų kėdė</w:t>
            </w:r>
          </w:p>
          <w:p w14:paraId="52E54AE0"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(KK-03)</w:t>
            </w:r>
          </w:p>
        </w:tc>
        <w:tc>
          <w:tcPr>
            <w:tcW w:w="1559" w:type="dxa"/>
            <w:shd w:val="clear" w:color="auto" w:fill="auto"/>
            <w:vAlign w:val="center"/>
          </w:tcPr>
          <w:p w14:paraId="417663C5"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W=535 (±20)</w:t>
            </w:r>
          </w:p>
          <w:p w14:paraId="75DE41B9"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D=520 (±20)</w:t>
            </w:r>
          </w:p>
          <w:p w14:paraId="6A8C4925"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H=790 (±30)</w:t>
            </w:r>
          </w:p>
          <w:p w14:paraId="22DF02DC"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SH=450 (±20)</w:t>
            </w:r>
          </w:p>
        </w:tc>
        <w:tc>
          <w:tcPr>
            <w:tcW w:w="5812" w:type="dxa"/>
            <w:shd w:val="clear" w:color="auto" w:fill="auto"/>
            <w:vAlign w:val="center"/>
          </w:tcPr>
          <w:p w14:paraId="607D7368" w14:textId="77777777" w:rsidR="007B7914" w:rsidRPr="00D5609A" w:rsidRDefault="007B7914"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Calibri" w:hAnsi="Times New Roman" w:cs="Times New Roman"/>
              </w:rPr>
              <w:t xml:space="preserve">Kėdė turi būti su chromuotomis kojelėmis, </w:t>
            </w:r>
            <w:r w:rsidRPr="00D5609A">
              <w:rPr>
                <w:rFonts w:ascii="Times New Roman" w:eastAsia="Times New Roman" w:hAnsi="Times New Roman" w:cs="Times New Roman"/>
                <w:lang w:eastAsia="lt-LT"/>
              </w:rPr>
              <w:t xml:space="preserve">korpusas turi būti vientisos konstrukcijos, gaminamas iš plastiko, su ertme nugarinės dalies apačioje. </w:t>
            </w:r>
          </w:p>
        </w:tc>
        <w:tc>
          <w:tcPr>
            <w:tcW w:w="850" w:type="dxa"/>
            <w:shd w:val="clear" w:color="auto" w:fill="auto"/>
            <w:vAlign w:val="center"/>
          </w:tcPr>
          <w:p w14:paraId="47C1538B"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26</w:t>
            </w:r>
          </w:p>
        </w:tc>
      </w:tr>
      <w:tr w:rsidR="007B7914" w:rsidRPr="00D5609A" w14:paraId="239A9175" w14:textId="77777777" w:rsidTr="00B740E1">
        <w:tc>
          <w:tcPr>
            <w:tcW w:w="567" w:type="dxa"/>
            <w:shd w:val="clear" w:color="auto" w:fill="auto"/>
            <w:vAlign w:val="center"/>
          </w:tcPr>
          <w:p w14:paraId="73A87C82"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6</w:t>
            </w:r>
          </w:p>
        </w:tc>
        <w:tc>
          <w:tcPr>
            <w:tcW w:w="1418" w:type="dxa"/>
            <w:shd w:val="clear" w:color="auto" w:fill="auto"/>
            <w:vAlign w:val="center"/>
          </w:tcPr>
          <w:p w14:paraId="21BD72FA"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Lankytojų kėdės</w:t>
            </w:r>
          </w:p>
          <w:p w14:paraId="7BF09C16"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(KK-04)</w:t>
            </w:r>
          </w:p>
        </w:tc>
        <w:tc>
          <w:tcPr>
            <w:tcW w:w="1559" w:type="dxa"/>
            <w:shd w:val="clear" w:color="auto" w:fill="auto"/>
            <w:vAlign w:val="center"/>
          </w:tcPr>
          <w:p w14:paraId="58A0EBD5"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W=1550 (±40)</w:t>
            </w:r>
          </w:p>
          <w:p w14:paraId="30841D53"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D=560 (±20)</w:t>
            </w:r>
          </w:p>
          <w:p w14:paraId="5765D5EA"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H=750 (±30)</w:t>
            </w:r>
          </w:p>
          <w:p w14:paraId="78CC46E6"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SH=420 (±20)</w:t>
            </w:r>
          </w:p>
        </w:tc>
        <w:tc>
          <w:tcPr>
            <w:tcW w:w="5812" w:type="dxa"/>
            <w:shd w:val="clear" w:color="auto" w:fill="auto"/>
            <w:vAlign w:val="center"/>
          </w:tcPr>
          <w:p w14:paraId="4FC8DE0A" w14:textId="77777777" w:rsidR="007B7914" w:rsidRPr="00D5609A" w:rsidRDefault="007B7914" w:rsidP="00B740E1">
            <w:pPr>
              <w:suppressAutoHyphens/>
              <w:spacing w:after="0" w:line="240" w:lineRule="auto"/>
              <w:jc w:val="both"/>
              <w:rPr>
                <w:rFonts w:ascii="Times New Roman" w:eastAsia="Times New Roman" w:hAnsi="Times New Roman" w:cs="Times New Roman"/>
                <w:lang w:eastAsia="lt-LT"/>
              </w:rPr>
            </w:pPr>
            <w:r w:rsidRPr="00D5609A">
              <w:rPr>
                <w:rFonts w:ascii="Times New Roman" w:eastAsia="Times New Roman" w:hAnsi="Times New Roman" w:cs="Times New Roman"/>
                <w:lang w:eastAsia="lt-LT"/>
              </w:rPr>
              <w:t xml:space="preserve">Trijų kėdžių junginys. Kėdžių junginio rėmas sudarytas iš polimero medžiagos ir metalo konstrukcijos junginio. Kėdės korpusas turi būti vientisos konstrukcijos, gaminamas iš plastiko, su ertme nugarinės dalies apačioje. </w:t>
            </w:r>
          </w:p>
        </w:tc>
        <w:tc>
          <w:tcPr>
            <w:tcW w:w="850" w:type="dxa"/>
            <w:shd w:val="clear" w:color="auto" w:fill="auto"/>
            <w:vAlign w:val="center"/>
          </w:tcPr>
          <w:p w14:paraId="67FB0278"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24</w:t>
            </w:r>
          </w:p>
        </w:tc>
      </w:tr>
      <w:tr w:rsidR="007B7914" w:rsidRPr="00D5609A" w14:paraId="350C2EF6" w14:textId="77777777" w:rsidTr="00B740E1">
        <w:tc>
          <w:tcPr>
            <w:tcW w:w="567" w:type="dxa"/>
            <w:shd w:val="clear" w:color="auto" w:fill="auto"/>
            <w:vAlign w:val="center"/>
          </w:tcPr>
          <w:p w14:paraId="7BCB0380"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7</w:t>
            </w:r>
          </w:p>
        </w:tc>
        <w:tc>
          <w:tcPr>
            <w:tcW w:w="1418" w:type="dxa"/>
            <w:shd w:val="clear" w:color="auto" w:fill="auto"/>
            <w:vAlign w:val="center"/>
          </w:tcPr>
          <w:p w14:paraId="36524913"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Kėdė</w:t>
            </w:r>
          </w:p>
          <w:p w14:paraId="0DCA363F"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(KK-06)</w:t>
            </w:r>
          </w:p>
        </w:tc>
        <w:tc>
          <w:tcPr>
            <w:tcW w:w="1559" w:type="dxa"/>
            <w:shd w:val="clear" w:color="auto" w:fill="auto"/>
            <w:vAlign w:val="center"/>
          </w:tcPr>
          <w:p w14:paraId="218FC849" w14:textId="77777777" w:rsidR="007B7914" w:rsidRPr="00D5609A" w:rsidRDefault="007B7914" w:rsidP="00B740E1">
            <w:pPr>
              <w:spacing w:after="0" w:line="240" w:lineRule="auto"/>
              <w:jc w:val="center"/>
              <w:rPr>
                <w:rFonts w:ascii="Times New Roman" w:eastAsia="Calibri" w:hAnsi="Times New Roman" w:cs="Times New Roman"/>
              </w:rPr>
            </w:pPr>
          </w:p>
          <w:p w14:paraId="2403513E"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W=495 (±20)</w:t>
            </w:r>
          </w:p>
          <w:p w14:paraId="2E507E42"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D=560 (±20)</w:t>
            </w:r>
          </w:p>
          <w:p w14:paraId="61086F6F" w14:textId="77777777" w:rsidR="007B7914" w:rsidRPr="00D5609A" w:rsidRDefault="007B7914" w:rsidP="00B740E1">
            <w:pPr>
              <w:spacing w:after="0" w:line="240" w:lineRule="auto"/>
              <w:jc w:val="center"/>
              <w:rPr>
                <w:rFonts w:ascii="Times New Roman" w:eastAsia="Calibri" w:hAnsi="Times New Roman" w:cs="Times New Roman"/>
              </w:rPr>
            </w:pPr>
            <w:r w:rsidRPr="00D5609A">
              <w:rPr>
                <w:rFonts w:ascii="Times New Roman" w:eastAsia="Calibri" w:hAnsi="Times New Roman" w:cs="Times New Roman"/>
              </w:rPr>
              <w:t>H=830 (±30)</w:t>
            </w:r>
          </w:p>
          <w:p w14:paraId="1BA7DDC7" w14:textId="77777777" w:rsidR="007B7914" w:rsidRPr="00D5609A" w:rsidRDefault="007B7914" w:rsidP="00B740E1">
            <w:pPr>
              <w:spacing w:after="0" w:line="240" w:lineRule="auto"/>
              <w:jc w:val="center"/>
              <w:rPr>
                <w:rFonts w:ascii="Times New Roman" w:eastAsia="Calibri" w:hAnsi="Times New Roman" w:cs="Times New Roman"/>
              </w:rPr>
            </w:pPr>
          </w:p>
        </w:tc>
        <w:tc>
          <w:tcPr>
            <w:tcW w:w="5812" w:type="dxa"/>
            <w:shd w:val="clear" w:color="auto" w:fill="auto"/>
            <w:vAlign w:val="center"/>
          </w:tcPr>
          <w:p w14:paraId="11F3D6B7" w14:textId="77777777" w:rsidR="007B7914" w:rsidRPr="00D5609A" w:rsidRDefault="007B7914" w:rsidP="00B740E1">
            <w:pPr>
              <w:suppressAutoHyphens/>
              <w:spacing w:after="0" w:line="240" w:lineRule="auto"/>
              <w:jc w:val="both"/>
              <w:rPr>
                <w:rFonts w:ascii="Times New Roman" w:eastAsia="Calibri" w:hAnsi="Times New Roman" w:cs="Times New Roman"/>
              </w:rPr>
            </w:pPr>
            <w:r w:rsidRPr="00D5609A">
              <w:rPr>
                <w:rFonts w:ascii="Times New Roman" w:eastAsia="Calibri" w:hAnsi="Times New Roman" w:cs="Times New Roman"/>
              </w:rPr>
              <w:t>Kėdė turi būti iš stiklo pluoštu sustiprinto polypropileno, vientisos konstrukcijos, viršutinėje atlošo dalyje išformuota rankena.</w:t>
            </w:r>
          </w:p>
        </w:tc>
        <w:tc>
          <w:tcPr>
            <w:tcW w:w="850" w:type="dxa"/>
            <w:shd w:val="clear" w:color="auto" w:fill="auto"/>
            <w:vAlign w:val="center"/>
          </w:tcPr>
          <w:p w14:paraId="5280DF87" w14:textId="77777777" w:rsidR="007B7914" w:rsidRPr="00D5609A" w:rsidRDefault="007B7914" w:rsidP="00B740E1">
            <w:pPr>
              <w:suppressAutoHyphens/>
              <w:spacing w:after="0" w:line="240" w:lineRule="auto"/>
              <w:jc w:val="center"/>
              <w:rPr>
                <w:rFonts w:ascii="Times New Roman" w:eastAsia="Times New Roman" w:hAnsi="Times New Roman" w:cs="Times New Roman"/>
                <w:bCs/>
                <w:lang w:eastAsia="ar-SA"/>
              </w:rPr>
            </w:pPr>
            <w:r w:rsidRPr="00D5609A">
              <w:rPr>
                <w:rFonts w:ascii="Times New Roman" w:eastAsia="Times New Roman" w:hAnsi="Times New Roman" w:cs="Times New Roman"/>
                <w:bCs/>
                <w:lang w:eastAsia="ar-SA"/>
              </w:rPr>
              <w:t>16</w:t>
            </w:r>
          </w:p>
        </w:tc>
      </w:tr>
    </w:tbl>
    <w:p w14:paraId="2F7262F1" w14:textId="77777777" w:rsidR="007B7914" w:rsidRPr="00D5609A" w:rsidRDefault="007B7914" w:rsidP="007B7914">
      <w:p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Matmenų paaiškinimai: </w:t>
      </w:r>
    </w:p>
    <w:p w14:paraId="524A8DA5"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W – plotis, </w:t>
      </w:r>
    </w:p>
    <w:p w14:paraId="1128C178"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D – gylis, </w:t>
      </w:r>
    </w:p>
    <w:p w14:paraId="6392D9DB"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 xml:space="preserve">H – aukštis (kai aukštis nereguliuojamas), </w:t>
      </w:r>
    </w:p>
    <w:p w14:paraId="13BC886B"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1</w:t>
      </w:r>
      <w:r w:rsidRPr="00D5609A">
        <w:rPr>
          <w:rFonts w:ascii="Times New Roman" w:eastAsia="Calibri" w:hAnsi="Times New Roman" w:cs="Times New Roman"/>
        </w:rPr>
        <w:t xml:space="preserve">– aukštis žemiausioje pozicijoje, </w:t>
      </w:r>
    </w:p>
    <w:p w14:paraId="42CA2CE4"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H</w:t>
      </w:r>
      <w:r w:rsidRPr="00D5609A">
        <w:rPr>
          <w:rFonts w:ascii="Times New Roman" w:eastAsia="Calibri" w:hAnsi="Times New Roman" w:cs="Times New Roman"/>
          <w:vertAlign w:val="subscript"/>
        </w:rPr>
        <w:t>2</w:t>
      </w:r>
      <w:r w:rsidRPr="00D5609A">
        <w:rPr>
          <w:rFonts w:ascii="Times New Roman" w:eastAsia="Calibri" w:hAnsi="Times New Roman" w:cs="Times New Roman"/>
        </w:rPr>
        <w:t xml:space="preserve"> –aukštis aukščiausioje pozicijoje, </w:t>
      </w:r>
    </w:p>
    <w:p w14:paraId="6128ED42"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SH – sėdimosios dalies aukštis (kai sėdimosios dalies aukštis nereguliuojamas),</w:t>
      </w:r>
    </w:p>
    <w:p w14:paraId="7A22F349"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SH</w:t>
      </w:r>
      <w:r w:rsidRPr="00D5609A">
        <w:rPr>
          <w:rFonts w:ascii="Times New Roman" w:eastAsia="Calibri" w:hAnsi="Times New Roman" w:cs="Times New Roman"/>
          <w:vertAlign w:val="subscript"/>
        </w:rPr>
        <w:t>1</w:t>
      </w:r>
      <w:r w:rsidRPr="00D5609A">
        <w:rPr>
          <w:rFonts w:ascii="Times New Roman" w:eastAsia="Calibri" w:hAnsi="Times New Roman" w:cs="Times New Roman"/>
        </w:rPr>
        <w:t xml:space="preserve"> – sėdimosios dalies aukštis žemiausioje pozicijoje,</w:t>
      </w:r>
    </w:p>
    <w:p w14:paraId="29DC3075" w14:textId="77777777" w:rsidR="007B7914" w:rsidRPr="00D5609A" w:rsidRDefault="007B7914" w:rsidP="007B7914">
      <w:pPr>
        <w:numPr>
          <w:ilvl w:val="0"/>
          <w:numId w:val="1"/>
        </w:numPr>
        <w:tabs>
          <w:tab w:val="left" w:pos="993"/>
        </w:tabs>
        <w:spacing w:after="0" w:line="240" w:lineRule="auto"/>
        <w:ind w:left="284" w:hanging="284"/>
        <w:contextualSpacing/>
        <w:rPr>
          <w:rFonts w:ascii="Times New Roman" w:eastAsia="Calibri" w:hAnsi="Times New Roman" w:cs="Times New Roman"/>
        </w:rPr>
      </w:pPr>
      <w:r w:rsidRPr="00D5609A">
        <w:rPr>
          <w:rFonts w:ascii="Times New Roman" w:eastAsia="Calibri" w:hAnsi="Times New Roman" w:cs="Times New Roman"/>
        </w:rPr>
        <w:t>SH</w:t>
      </w:r>
      <w:r w:rsidRPr="00D5609A">
        <w:rPr>
          <w:rFonts w:ascii="Times New Roman" w:eastAsia="Calibri" w:hAnsi="Times New Roman" w:cs="Times New Roman"/>
          <w:vertAlign w:val="subscript"/>
        </w:rPr>
        <w:t xml:space="preserve">2 </w:t>
      </w:r>
      <w:r w:rsidRPr="00D5609A">
        <w:rPr>
          <w:rFonts w:ascii="Times New Roman" w:eastAsia="Calibri" w:hAnsi="Times New Roman" w:cs="Times New Roman"/>
        </w:rPr>
        <w:t xml:space="preserve">– sėdimosios dalies aukštis aukščiausioje pozicijoje. </w:t>
      </w:r>
    </w:p>
    <w:p w14:paraId="7F3BB292" w14:textId="77777777" w:rsidR="007B7914" w:rsidRPr="00D5609A" w:rsidRDefault="007B7914" w:rsidP="007B7914">
      <w:pPr>
        <w:spacing w:after="0" w:line="240" w:lineRule="auto"/>
        <w:rPr>
          <w:rFonts w:ascii="Times New Roman" w:eastAsia="Calibri" w:hAnsi="Times New Roman" w:cs="Times New Roman"/>
          <w:sz w:val="24"/>
        </w:rPr>
      </w:pPr>
    </w:p>
    <w:p w14:paraId="58CA2BBE" w14:textId="77777777" w:rsidR="00CF20F5" w:rsidRDefault="00CF20F5"/>
    <w:sectPr w:rsidR="00CF20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F14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D17269"/>
    <w:multiLevelType w:val="hybridMultilevel"/>
    <w:tmpl w:val="8B6AFD52"/>
    <w:lvl w:ilvl="0" w:tplc="8E46B7B0">
      <w:start w:val="45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14"/>
    <w:rsid w:val="007B7914"/>
    <w:rsid w:val="009E66A3"/>
    <w:rsid w:val="00A03257"/>
    <w:rsid w:val="00CF20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7BED"/>
  <w15:chartTrackingRefBased/>
  <w15:docId w15:val="{E07BC4EC-95C0-4F67-8319-C9BD40FB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9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3" ma:contentTypeDescription="Kurkite naują dokumentą." ma:contentTypeScope="" ma:versionID="7db750560b06b74924eb8b23d37d577d">
  <xsd:schema xmlns:xsd="http://www.w3.org/2001/XMLSchema" xmlns:xs="http://www.w3.org/2001/XMLSchema" xmlns:p="http://schemas.microsoft.com/office/2006/metadata/properties" xmlns:ns1="http://schemas.microsoft.com/sharepoint/v3" xmlns:ns3="efdbc10d-31c8-446d-9281-998fb1d4d15b" xmlns:ns4="c6372a94-ab78-47fb-a5a7-76d10800a5f9" targetNamespace="http://schemas.microsoft.com/office/2006/metadata/properties" ma:root="true" ma:fieldsID="6d2b184fb3d4d398713b56faa7fc6998" ns1:_="" ns3:_="" ns4:_="">
    <xsd:import namespace="http://schemas.microsoft.com/sharepoint/v3"/>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Bendrosios atitikties strategijos ypatybės" ma:hidden="true" ma:internalName="_ip_UnifiedCompliancePolicyProperties">
      <xsd:simpleType>
        <xsd:restriction base="dms:Note"/>
      </xsd:simpleType>
    </xsd:element>
    <xsd:element name="_ip_UnifiedCompliancePolicyUIAction" ma:index="18"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430D6F-864D-4699-8BF7-26089DB47EEC}">
  <ds:schemaRefs>
    <ds:schemaRef ds:uri="http://schemas.microsoft.com/sharepoint/v3/contenttype/forms"/>
  </ds:schemaRefs>
</ds:datastoreItem>
</file>

<file path=customXml/itemProps2.xml><?xml version="1.0" encoding="utf-8"?>
<ds:datastoreItem xmlns:ds="http://schemas.openxmlformats.org/officeDocument/2006/customXml" ds:itemID="{61A79B11-FB1E-4B51-ADBD-AE2C8D82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9BAA1-E57E-4F30-8404-271F5CCA131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5659</Words>
  <Characters>3227</Characters>
  <Application>Microsoft Office Word</Application>
  <DocSecurity>4</DocSecurity>
  <Lines>26</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Žekonis</dc:creator>
  <cp:keywords/>
  <dc:description/>
  <cp:lastModifiedBy>Džiuljeta Malinauskaitė</cp:lastModifiedBy>
  <cp:revision>2</cp:revision>
  <dcterms:created xsi:type="dcterms:W3CDTF">2020-07-07T11:27:00Z</dcterms:created>
  <dcterms:modified xsi:type="dcterms:W3CDTF">2020-07-07T11:27:00Z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0x0101005E931965298EC241988C3EFFF6F04E41</vt:lpwstr>
  </property>
</Properties>
</file>