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608" w:rsidRPr="00432312" w:rsidRDefault="006E1608" w:rsidP="006E1608">
      <w:pPr>
        <w:pStyle w:val="ListParagraph"/>
        <w:numPr>
          <w:ilvl w:val="0"/>
          <w:numId w:val="1"/>
        </w:numPr>
        <w:spacing w:after="0" w:line="240" w:lineRule="auto"/>
        <w:rPr>
          <w:rFonts w:ascii="Times New Roman" w:hAnsi="Times New Roman" w:cs="Times New Roman"/>
        </w:rPr>
      </w:pPr>
      <w:bookmarkStart w:id="0" w:name="_GoBack"/>
      <w:bookmarkEnd w:id="0"/>
    </w:p>
    <w:p w:rsidR="006E1608" w:rsidRPr="00432312" w:rsidRDefault="006E1608" w:rsidP="006E1608">
      <w:pPr>
        <w:spacing w:after="0" w:line="240" w:lineRule="auto"/>
        <w:rPr>
          <w:rFonts w:ascii="Times New Roman" w:hAnsi="Times New Roman" w:cs="Times New Roman"/>
          <w:b/>
        </w:rPr>
      </w:pPr>
      <w:r w:rsidRPr="00432312">
        <w:rPr>
          <w:rFonts w:ascii="Times New Roman" w:hAnsi="Times New Roman" w:cs="Times New Roman"/>
          <w:b/>
        </w:rPr>
        <w:t>Formaldehidas NB</w:t>
      </w:r>
      <w:r w:rsidR="001C576E">
        <w:rPr>
          <w:rFonts w:ascii="Times New Roman" w:hAnsi="Times New Roman" w:cs="Times New Roman"/>
          <w:b/>
        </w:rPr>
        <w:t xml:space="preserve"> 4 </w:t>
      </w:r>
      <w:r w:rsidRPr="00432312">
        <w:rPr>
          <w:rFonts w:ascii="Times New Roman" w:hAnsi="Times New Roman" w:cs="Times New Roman"/>
          <w:b/>
        </w:rPr>
        <w:t>%</w:t>
      </w:r>
    </w:p>
    <w:p w:rsidR="006E1608" w:rsidRDefault="006E1608" w:rsidP="006E1608">
      <w:pPr>
        <w:spacing w:after="0" w:line="240" w:lineRule="auto"/>
        <w:rPr>
          <w:rFonts w:ascii="Times New Roman" w:hAnsi="Times New Roman" w:cs="Times New Roman"/>
        </w:rPr>
      </w:pPr>
      <w:r w:rsidRPr="00432312">
        <w:rPr>
          <w:rFonts w:ascii="Times New Roman" w:hAnsi="Times New Roman" w:cs="Times New Roman"/>
        </w:rPr>
        <w:t>Tik in vitro diagnostikos tikslais</w:t>
      </w:r>
    </w:p>
    <w:p w:rsidR="006E1608" w:rsidRDefault="006E1608" w:rsidP="006E1608">
      <w:pPr>
        <w:spacing w:after="0"/>
        <w:rPr>
          <w:rFonts w:ascii="Times New Roman" w:hAnsi="Times New Roman" w:cs="Times New Roman"/>
        </w:rPr>
      </w:pPr>
      <w:r>
        <w:rPr>
          <w:rFonts w:ascii="Times New Roman" w:hAnsi="Times New Roman" w:cs="Times New Roman"/>
        </w:rPr>
        <w:t>Produkto kodas: FNB</w:t>
      </w:r>
      <w:r w:rsidR="001C576E">
        <w:rPr>
          <w:rFonts w:ascii="Times New Roman" w:hAnsi="Times New Roman" w:cs="Times New Roman"/>
        </w:rPr>
        <w:t>4</w:t>
      </w:r>
      <w:r>
        <w:rPr>
          <w:rFonts w:ascii="Times New Roman" w:hAnsi="Times New Roman" w:cs="Times New Roman"/>
        </w:rPr>
        <w:t>-1L (1000ml); FNB</w:t>
      </w:r>
      <w:r w:rsidR="001C576E">
        <w:rPr>
          <w:rFonts w:ascii="Times New Roman" w:hAnsi="Times New Roman" w:cs="Times New Roman"/>
        </w:rPr>
        <w:t>4-3L (3</w:t>
      </w:r>
      <w:r>
        <w:rPr>
          <w:rFonts w:ascii="Times New Roman" w:hAnsi="Times New Roman" w:cs="Times New Roman"/>
        </w:rPr>
        <w:t xml:space="preserve">000ml); </w:t>
      </w:r>
      <w:r w:rsidR="001C576E">
        <w:rPr>
          <w:rFonts w:ascii="Times New Roman" w:hAnsi="Times New Roman" w:cs="Times New Roman"/>
        </w:rPr>
        <w:t xml:space="preserve">FNB4-5L (500ml); </w:t>
      </w:r>
      <w:r>
        <w:rPr>
          <w:rFonts w:ascii="Times New Roman" w:hAnsi="Times New Roman" w:cs="Times New Roman"/>
        </w:rPr>
        <w:t>FNB</w:t>
      </w:r>
      <w:r w:rsidR="001C576E">
        <w:rPr>
          <w:rFonts w:ascii="Times New Roman" w:hAnsi="Times New Roman" w:cs="Times New Roman"/>
        </w:rPr>
        <w:t>4</w:t>
      </w:r>
      <w:r>
        <w:rPr>
          <w:rFonts w:ascii="Times New Roman" w:hAnsi="Times New Roman" w:cs="Times New Roman"/>
        </w:rPr>
        <w:t>-10L (10000ml); FNB</w:t>
      </w:r>
      <w:r w:rsidR="001C576E">
        <w:rPr>
          <w:rFonts w:ascii="Times New Roman" w:hAnsi="Times New Roman" w:cs="Times New Roman"/>
        </w:rPr>
        <w:t>4</w:t>
      </w:r>
      <w:r>
        <w:rPr>
          <w:rFonts w:ascii="Times New Roman" w:hAnsi="Times New Roman" w:cs="Times New Roman"/>
        </w:rPr>
        <w:t>-20L (20000ml)</w:t>
      </w:r>
    </w:p>
    <w:p w:rsidR="006E1608" w:rsidRPr="00432312" w:rsidRDefault="006E1608" w:rsidP="006E1608">
      <w:pPr>
        <w:spacing w:after="0"/>
        <w:rPr>
          <w:rFonts w:ascii="Times New Roman" w:hAnsi="Times New Roman" w:cs="Times New Roman"/>
          <w:b/>
        </w:rPr>
      </w:pPr>
      <w:r w:rsidRPr="00432312">
        <w:rPr>
          <w:rFonts w:ascii="Times New Roman" w:hAnsi="Times New Roman" w:cs="Times New Roman"/>
          <w:b/>
        </w:rPr>
        <w:t>Įvadas</w:t>
      </w:r>
    </w:p>
    <w:p w:rsidR="006E1608" w:rsidRDefault="006E1608" w:rsidP="006E1608">
      <w:pPr>
        <w:spacing w:after="0"/>
        <w:jc w:val="both"/>
        <w:rPr>
          <w:rFonts w:ascii="Times New Roman" w:hAnsi="Times New Roman" w:cs="Times New Roman"/>
        </w:rPr>
      </w:pPr>
      <w:r>
        <w:rPr>
          <w:rFonts w:ascii="Times New Roman" w:hAnsi="Times New Roman" w:cs="Times New Roman"/>
        </w:rPr>
        <w:t xml:space="preserve">Nepriekaištingas mėginio fiksavimas yra būtinas kokybiškai histologiniai diagnostikai. Audinių mėginius būtina impregnuoti optimaliai pasiriktose fiksuojančiose medžiagose tuoj pat po mėginio paėmimo. Tai svarbu, nes savalaikis fiksavimas apsaugos mėginį nuo savaiminio įrimo bei ląstelių pokyčių. Nors yra šimtai histologinių fiksavimo medžiagų ir dešimtys pagamintų formalino pagrindu, įvairių koncentracijų neutralaus formaldehido  tirpalas yra vienas iš populiariausių ir plačiausiai naudojamų preparatų.  Audinių fiksavimui naudojamas formaldehido tirpalas suformuoja metileno „tiltą“ tarp baltymų ir tai palaiko audinių komponentus naudoti in vivo pavidale. Jei fiksuojama teisingai, audinių mėginiai gali išlikti ir nesuirti viso proceso metu ( dažymo, fiksavimo). NB </w:t>
      </w:r>
      <w:r w:rsidR="001C576E">
        <w:rPr>
          <w:rFonts w:ascii="Times New Roman" w:hAnsi="Times New Roman" w:cs="Times New Roman"/>
        </w:rPr>
        <w:t>4</w:t>
      </w:r>
      <w:r>
        <w:rPr>
          <w:rFonts w:ascii="Calibri" w:hAnsi="Calibri" w:cs="Times New Roman"/>
        </w:rPr>
        <w:t>%</w:t>
      </w:r>
      <w:r w:rsidR="001C576E">
        <w:rPr>
          <w:rFonts w:ascii="Times New Roman" w:hAnsi="Times New Roman" w:cs="Times New Roman"/>
        </w:rPr>
        <w:t xml:space="preserve"> formaldehido tirpalas yra 10</w:t>
      </w:r>
      <w:r>
        <w:rPr>
          <w:rFonts w:ascii="Calibri" w:hAnsi="Calibri" w:cs="Times New Roman"/>
        </w:rPr>
        <w:t>%</w:t>
      </w:r>
      <w:r w:rsidR="001C576E">
        <w:rPr>
          <w:rFonts w:ascii="Times New Roman" w:hAnsi="Times New Roman" w:cs="Times New Roman"/>
        </w:rPr>
        <w:t xml:space="preserve"> buferinis</w:t>
      </w:r>
      <w:r>
        <w:rPr>
          <w:rFonts w:ascii="Times New Roman" w:hAnsi="Times New Roman" w:cs="Times New Roman"/>
        </w:rPr>
        <w:t xml:space="preserve"> formalinas. Tai paruoštas darbui tirpalas, spalvotas, pasižymintis specifiniu kvapu, tinkamas dideliems audiniams fiksuoti. Jis stabilizuotas su metilo alkoholiu ir fosfatiniu buferiu. Jo pH būna nuo 6,8 iki7,2 25</w:t>
      </w:r>
      <w:r w:rsidRPr="00590913">
        <w:rPr>
          <w:rFonts w:ascii="Times New Roman" w:hAnsi="Times New Roman" w:cs="Times New Roman"/>
          <w:vertAlign w:val="superscript"/>
        </w:rPr>
        <w:t>0</w:t>
      </w:r>
      <w:r>
        <w:rPr>
          <w:rFonts w:ascii="Times New Roman" w:hAnsi="Times New Roman" w:cs="Times New Roman"/>
        </w:rPr>
        <w:t>C. Tai svarbiausias audinių fiksatorius. Audinius galima fiksuoti per trumpą laiką naudojant mažesnius tūrius ir mažesnės koncentracijos (iki4</w:t>
      </w:r>
      <w:r>
        <w:rPr>
          <w:rFonts w:ascii="Calibri" w:hAnsi="Calibri" w:cs="Times New Roman"/>
        </w:rPr>
        <w:t>%</w:t>
      </w:r>
      <w:r>
        <w:rPr>
          <w:rFonts w:ascii="Times New Roman" w:hAnsi="Times New Roman" w:cs="Times New Roman"/>
        </w:rPr>
        <w:t>) formadehido tirpalus. Kadangi neutralus pH nesukelia audinių pigmentacijos ir dėl to nereikia pašalinti, taip vadinamo, hemateino. Jo pakuotės yra įvairių dydžių nuo 1 l iki  20l.</w:t>
      </w:r>
    </w:p>
    <w:p w:rsidR="006E1608" w:rsidRDefault="006E1608" w:rsidP="006E1608">
      <w:pPr>
        <w:spacing w:after="0"/>
        <w:jc w:val="both"/>
        <w:rPr>
          <w:rFonts w:ascii="Times New Roman" w:hAnsi="Times New Roman" w:cs="Times New Roman"/>
          <w:b/>
        </w:rPr>
      </w:pPr>
      <w:r>
        <w:rPr>
          <w:rFonts w:ascii="Times New Roman" w:hAnsi="Times New Roman" w:cs="Times New Roman"/>
          <w:b/>
        </w:rPr>
        <w:t>Produkto aprašymas</w:t>
      </w:r>
    </w:p>
    <w:p w:rsidR="006E1608" w:rsidRDefault="001C576E" w:rsidP="006E1608">
      <w:pPr>
        <w:spacing w:after="0"/>
        <w:jc w:val="both"/>
        <w:rPr>
          <w:rFonts w:ascii="Times New Roman" w:hAnsi="Times New Roman" w:cs="Times New Roman"/>
        </w:rPr>
      </w:pPr>
      <w:r>
        <w:rPr>
          <w:rFonts w:ascii="Times New Roman" w:hAnsi="Times New Roman" w:cs="Times New Roman"/>
          <w:b/>
        </w:rPr>
        <w:t>Formaldehidas NB 4</w:t>
      </w:r>
      <w:r w:rsidR="006E1608">
        <w:rPr>
          <w:rFonts w:ascii="Calibri" w:hAnsi="Calibri" w:cs="Times New Roman"/>
          <w:b/>
        </w:rPr>
        <w:t>%</w:t>
      </w:r>
      <w:r w:rsidR="006E1608">
        <w:rPr>
          <w:rFonts w:ascii="Times New Roman" w:hAnsi="Times New Roman" w:cs="Times New Roman"/>
          <w:b/>
        </w:rPr>
        <w:t>-</w:t>
      </w:r>
      <w:r w:rsidR="006E1608">
        <w:rPr>
          <w:rFonts w:ascii="Times New Roman" w:hAnsi="Times New Roman" w:cs="Times New Roman"/>
        </w:rPr>
        <w:t xml:space="preserve"> neutralus buferinis 4</w:t>
      </w:r>
      <w:r w:rsidR="006E1608">
        <w:rPr>
          <w:rFonts w:ascii="Calibri" w:hAnsi="Calibri" w:cs="Times New Roman"/>
        </w:rPr>
        <w:t>%</w:t>
      </w:r>
      <w:r w:rsidR="006E1608">
        <w:rPr>
          <w:rFonts w:ascii="Times New Roman" w:hAnsi="Times New Roman" w:cs="Times New Roman"/>
        </w:rPr>
        <w:t xml:space="preserve"> stabilizuotas formaldehido tirpalas, pH 7,0. Tinkamas didelių audinių fiksavimui.</w:t>
      </w:r>
    </w:p>
    <w:p w:rsidR="006E1608" w:rsidRPr="00CB49CF" w:rsidRDefault="006E1608" w:rsidP="006E1608">
      <w:pPr>
        <w:spacing w:after="0"/>
        <w:jc w:val="both"/>
        <w:rPr>
          <w:rFonts w:ascii="Times New Roman" w:hAnsi="Times New Roman" w:cs="Times New Roman"/>
        </w:rPr>
      </w:pPr>
      <w:r w:rsidRPr="00CB49CF">
        <w:rPr>
          <w:rFonts w:ascii="Times New Roman" w:hAnsi="Times New Roman" w:cs="Times New Roman"/>
        </w:rPr>
        <w:t xml:space="preserve">Sininimai: neutralus buferinis </w:t>
      </w:r>
      <w:r w:rsidR="001C576E">
        <w:rPr>
          <w:rFonts w:ascii="Times New Roman" w:hAnsi="Times New Roman" w:cs="Times New Roman"/>
        </w:rPr>
        <w:t>10% formalinas, NBF 10%.</w:t>
      </w:r>
    </w:p>
    <w:p w:rsidR="006E1608" w:rsidRDefault="006E1608" w:rsidP="006E1608">
      <w:pPr>
        <w:spacing w:after="0"/>
        <w:rPr>
          <w:rFonts w:ascii="Times New Roman" w:hAnsi="Times New Roman" w:cs="Times New Roman"/>
          <w:b/>
        </w:rPr>
      </w:pPr>
      <w:r>
        <w:rPr>
          <w:rFonts w:ascii="Times New Roman" w:hAnsi="Times New Roman" w:cs="Times New Roman"/>
          <w:b/>
        </w:rPr>
        <w:t>Fiksavimo gairės</w:t>
      </w:r>
    </w:p>
    <w:p w:rsidR="001C576E" w:rsidRDefault="006E1608" w:rsidP="006E1608">
      <w:pPr>
        <w:spacing w:after="0"/>
        <w:jc w:val="both"/>
        <w:rPr>
          <w:rFonts w:ascii="Times New Roman" w:hAnsi="Times New Roman" w:cs="Times New Roman"/>
        </w:rPr>
        <w:sectPr w:rsidR="001C576E" w:rsidSect="001C576E">
          <w:headerReference w:type="default" r:id="rId9"/>
          <w:pgSz w:w="11907" w:h="16839" w:code="9"/>
          <w:pgMar w:top="1191" w:right="1134" w:bottom="1021" w:left="1418" w:header="720" w:footer="720" w:gutter="0"/>
          <w:cols w:space="720"/>
          <w:docGrid w:linePitch="360"/>
        </w:sectPr>
      </w:pPr>
      <w:r>
        <w:rPr>
          <w:rFonts w:ascii="Times New Roman" w:hAnsi="Times New Roman" w:cs="Times New Roman"/>
        </w:rPr>
        <w:t xml:space="preserve">Jei audinio tinkamai nestabilizuosite ar, jei naudosite netinkamas fiksavimui medžiagas, visos kitos audinių paruošimo stadijos sąlygos  klaidingą diagnostiką. Jei fiksuojanti medžiaga yra prastos kokybės, pH reikšmė neatitinka apibrėžtų fiziologinių ribų ar santykis tarp audinių tūrio ir aktyvios substancijos fiksuojančioje medžiagoje yra netinkamas, netinkamas fiksavimas gali sukelti audinių degradavimą ir </w:t>
      </w:r>
    </w:p>
    <w:p w:rsidR="006E1608" w:rsidRDefault="006E1608" w:rsidP="001C576E">
      <w:pPr>
        <w:rPr>
          <w:lang w:val="en-US"/>
        </w:rPr>
      </w:pPr>
      <w:r>
        <w:lastRenderedPageBreak/>
        <w:t xml:space="preserve">netikti diagnostikai. Dėl to produktas turi būti pagamintas taip, kaip nurodyta in vitro diagnostikos priemonių normose ir turi būti paženklintas </w:t>
      </w:r>
      <w:r w:rsidRPr="004D3CA4">
        <w:rPr>
          <w:noProof/>
          <w:sz w:val="16"/>
          <w:szCs w:val="16"/>
          <w:lang w:val="en-US"/>
        </w:rPr>
        <w:drawing>
          <wp:inline distT="0" distB="0" distL="0" distR="0" wp14:anchorId="7E022A0C" wp14:editId="34140978">
            <wp:extent cx="157480" cy="118661"/>
            <wp:effectExtent l="0" t="0" r="0" b="0"/>
            <wp:docPr id="13" name="Picture 13" descr="Евросою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вросоюз"/>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48" cy="122027"/>
                    </a:xfrm>
                    <a:prstGeom prst="rect">
                      <a:avLst/>
                    </a:prstGeom>
                    <a:noFill/>
                    <a:ln>
                      <a:noFill/>
                    </a:ln>
                  </pic:spPr>
                </pic:pic>
              </a:graphicData>
            </a:graphic>
          </wp:inline>
        </w:drawing>
      </w:r>
      <w:r>
        <w:rPr>
          <w:lang w:val="en-US"/>
        </w:rPr>
        <w:t>.</w:t>
      </w:r>
    </w:p>
    <w:p w:rsidR="006E1608" w:rsidRPr="00AE2D37" w:rsidRDefault="006E1608" w:rsidP="006E1608">
      <w:pPr>
        <w:spacing w:after="0"/>
        <w:jc w:val="both"/>
        <w:rPr>
          <w:rFonts w:ascii="Times New Roman" w:hAnsi="Times New Roman" w:cs="Times New Roman"/>
          <w:b/>
        </w:rPr>
      </w:pPr>
      <w:r w:rsidRPr="00AE2D37">
        <w:rPr>
          <w:rFonts w:ascii="Times New Roman" w:hAnsi="Times New Roman" w:cs="Times New Roman"/>
          <w:b/>
        </w:rPr>
        <w:t>Fiksavimo instrukcijos</w:t>
      </w:r>
    </w:p>
    <w:p w:rsidR="006E1608" w:rsidRPr="001C576E" w:rsidRDefault="006E1608" w:rsidP="001C576E">
      <w:pPr>
        <w:pStyle w:val="ListParagraph"/>
        <w:numPr>
          <w:ilvl w:val="0"/>
          <w:numId w:val="2"/>
        </w:numPr>
        <w:spacing w:after="0"/>
        <w:jc w:val="both"/>
        <w:rPr>
          <w:rFonts w:ascii="Times New Roman" w:hAnsi="Times New Roman" w:cs="Times New Roman"/>
        </w:rPr>
      </w:pPr>
      <w:r w:rsidRPr="001C576E">
        <w:rPr>
          <w:rFonts w:ascii="Times New Roman" w:hAnsi="Times New Roman" w:cs="Times New Roman"/>
        </w:rPr>
        <w:t>Visuomet mūvėkite apsaugines pirštines kai dirbate su formaldehidu ir fiksuojate audinius. Patalpa, kurioje dirbate su produktu, turi būti labai gerai ventiliuojama, nes jo garai yra toksiški. Kita saugos informacija pateikiama MSDL.</w:t>
      </w:r>
    </w:p>
    <w:p w:rsidR="006E1608" w:rsidRPr="001C576E" w:rsidRDefault="006E1608" w:rsidP="001C576E">
      <w:pPr>
        <w:pStyle w:val="ListParagraph"/>
        <w:numPr>
          <w:ilvl w:val="0"/>
          <w:numId w:val="2"/>
        </w:numPr>
        <w:spacing w:after="0"/>
        <w:jc w:val="both"/>
        <w:rPr>
          <w:rFonts w:ascii="Times New Roman" w:hAnsi="Times New Roman" w:cs="Times New Roman"/>
        </w:rPr>
      </w:pPr>
      <w:r w:rsidRPr="001C576E">
        <w:rPr>
          <w:rFonts w:ascii="Times New Roman" w:hAnsi="Times New Roman" w:cs="Times New Roman"/>
        </w:rPr>
        <w:t>Prieš darbą, fiksuojanti medžiaga turi būti pasirenkama pagal metodikas. Jei buvo pasirinktas NB formaldehidas, kaip optimaliausias fiksatorius, audiniai nedelsiant turi būti įmerkti į konteinerį su tirpalu.</w:t>
      </w:r>
    </w:p>
    <w:p w:rsidR="006E1608" w:rsidRPr="001C576E" w:rsidRDefault="001C576E" w:rsidP="001C576E">
      <w:pPr>
        <w:pStyle w:val="ListParagraph"/>
        <w:numPr>
          <w:ilvl w:val="0"/>
          <w:numId w:val="2"/>
        </w:numPr>
        <w:spacing w:after="0"/>
        <w:jc w:val="both"/>
        <w:rPr>
          <w:rFonts w:ascii="Times New Roman" w:hAnsi="Times New Roman" w:cs="Times New Roman"/>
        </w:rPr>
      </w:pPr>
      <w:r>
        <w:rPr>
          <w:rFonts w:ascii="Times New Roman" w:hAnsi="Times New Roman" w:cs="Times New Roman"/>
        </w:rPr>
        <w:t>Mėginys</w:t>
      </w:r>
      <w:r w:rsidR="006E1608" w:rsidRPr="001C576E">
        <w:rPr>
          <w:rFonts w:ascii="Times New Roman" w:hAnsi="Times New Roman" w:cs="Times New Roman"/>
        </w:rPr>
        <w:t xml:space="preserve"> turi būti fiksuojamas nedelsiant tikslu išvengti audinių įrimo, puvimo ir kitokių pokyčių. Jei to padaryti neįmanoma, audinius būtina nedelsiant užšaldyti. Negalima mėginio lankstyti, glamžyti ar kaip kitaip fiziškai paveikti, merkiant į fiksavimo konteinerį. Rekomenduojama naudoti tik 3-6 mm storio audinių mėginius, gerai fiksacijai atlikti. Visi mėginiai turi būti ženklinami.</w:t>
      </w:r>
    </w:p>
    <w:p w:rsidR="006E1608" w:rsidRPr="001C576E" w:rsidRDefault="006E1608" w:rsidP="001C576E">
      <w:pPr>
        <w:pStyle w:val="ListParagraph"/>
        <w:numPr>
          <w:ilvl w:val="0"/>
          <w:numId w:val="2"/>
        </w:numPr>
        <w:spacing w:after="0"/>
        <w:jc w:val="both"/>
        <w:rPr>
          <w:rFonts w:ascii="Times New Roman" w:hAnsi="Times New Roman" w:cs="Times New Roman"/>
        </w:rPr>
      </w:pPr>
      <w:r w:rsidRPr="001C576E">
        <w:rPr>
          <w:rFonts w:ascii="Times New Roman" w:hAnsi="Times New Roman" w:cs="Times New Roman"/>
        </w:rPr>
        <w:t>Fiksavimo proceso metu mėginiai turi būti įmerkti į pakankamą kiekį fiksuojančios medžiagos. Optimaliausias santykis yra nuo 20 iki 40 dalių fiksuojančios medžiagos su 1-a dalimi audinio mėginio.  Tai galioja ir NB 4</w:t>
      </w:r>
      <w:r w:rsidRPr="001C576E">
        <w:rPr>
          <w:rFonts w:ascii="Calibri" w:hAnsi="Calibri" w:cs="Times New Roman"/>
        </w:rPr>
        <w:t>%</w:t>
      </w:r>
      <w:r w:rsidRPr="001C576E">
        <w:rPr>
          <w:rFonts w:ascii="Times New Roman" w:hAnsi="Times New Roman" w:cs="Times New Roman"/>
        </w:rPr>
        <w:t xml:space="preserve"> Formaldehido tirpalui, tuo tarpu naudojant NB 10</w:t>
      </w:r>
      <w:r w:rsidRPr="001C576E">
        <w:rPr>
          <w:rFonts w:ascii="Calibri" w:hAnsi="Calibri" w:cs="Times New Roman"/>
        </w:rPr>
        <w:t>%</w:t>
      </w:r>
      <w:r w:rsidRPr="001C576E">
        <w:rPr>
          <w:rFonts w:ascii="Times New Roman" w:hAnsi="Times New Roman" w:cs="Times New Roman"/>
        </w:rPr>
        <w:t xml:space="preserve"> formaldehido tirpalą, šis santykis gali būti mažesnis. Tačiau santykis niekad negali būti žemesnis nei 10 dalių fiksuojančios medžiagos ir 1 dalis audinio.</w:t>
      </w:r>
    </w:p>
    <w:p w:rsidR="001C576E" w:rsidRPr="001C576E" w:rsidRDefault="006E1608" w:rsidP="001C576E">
      <w:pPr>
        <w:pStyle w:val="ListParagraph"/>
        <w:numPr>
          <w:ilvl w:val="0"/>
          <w:numId w:val="2"/>
        </w:numPr>
        <w:spacing w:after="0"/>
        <w:jc w:val="both"/>
        <w:rPr>
          <w:rFonts w:ascii="Times New Roman" w:hAnsi="Times New Roman" w:cs="Times New Roman"/>
        </w:rPr>
      </w:pPr>
      <w:r w:rsidRPr="001C576E">
        <w:rPr>
          <w:rFonts w:ascii="Times New Roman" w:hAnsi="Times New Roman" w:cs="Times New Roman"/>
        </w:rPr>
        <w:t>Jei fiksuoti reikia visą organą, fiksuojanti medžiaga turi būti suleidžiama į organą arba jis turi būti supjaustomas dalimis ir jos atskirai fiksuojamos.</w:t>
      </w:r>
    </w:p>
    <w:p w:rsidR="001C576E" w:rsidRPr="001C576E" w:rsidRDefault="001C576E" w:rsidP="001C576E">
      <w:pPr>
        <w:pStyle w:val="ListParagraph"/>
        <w:numPr>
          <w:ilvl w:val="0"/>
          <w:numId w:val="2"/>
        </w:numPr>
        <w:rPr>
          <w:rFonts w:ascii="Times New Roman" w:hAnsi="Times New Roman" w:cs="Times New Roman"/>
        </w:rPr>
      </w:pPr>
      <w:r w:rsidRPr="001C576E">
        <w:rPr>
          <w:rFonts w:ascii="Times New Roman" w:hAnsi="Times New Roman" w:cs="Times New Roman"/>
        </w:rPr>
        <w:br w:type="page"/>
      </w:r>
    </w:p>
    <w:p w:rsidR="006E1608" w:rsidRDefault="006E1608" w:rsidP="006E1608">
      <w:pPr>
        <w:spacing w:after="0"/>
        <w:jc w:val="both"/>
        <w:rPr>
          <w:rFonts w:ascii="Times New Roman" w:hAnsi="Times New Roman" w:cs="Times New Roman"/>
        </w:rPr>
      </w:pPr>
    </w:p>
    <w:p w:rsidR="006E1608" w:rsidRPr="001C576E" w:rsidRDefault="006E1608" w:rsidP="001C576E">
      <w:pPr>
        <w:pStyle w:val="ListParagraph"/>
        <w:numPr>
          <w:ilvl w:val="0"/>
          <w:numId w:val="2"/>
        </w:numPr>
        <w:spacing w:after="0"/>
        <w:jc w:val="both"/>
        <w:rPr>
          <w:rFonts w:ascii="Times New Roman" w:hAnsi="Times New Roman" w:cs="Times New Roman"/>
        </w:rPr>
      </w:pPr>
      <w:r w:rsidRPr="001C576E">
        <w:rPr>
          <w:rFonts w:ascii="Times New Roman" w:hAnsi="Times New Roman" w:cs="Times New Roman"/>
        </w:rPr>
        <w:t xml:space="preserve">Fiksuojanti medžiaga gali būti užpilama ant įdubusių organų ir, prieš įmerkiant į konteinerį su fiksuojančia medžiaga. Kai kurie organai, tokie kaip gaubtinė žarna, gali būti perpjaunami ir išskleidžiami. </w:t>
      </w:r>
    </w:p>
    <w:p w:rsidR="006E1608" w:rsidRPr="001C576E" w:rsidRDefault="006E1608" w:rsidP="001C576E">
      <w:pPr>
        <w:pStyle w:val="ListParagraph"/>
        <w:numPr>
          <w:ilvl w:val="0"/>
          <w:numId w:val="2"/>
        </w:numPr>
        <w:spacing w:after="0"/>
        <w:jc w:val="both"/>
        <w:rPr>
          <w:rFonts w:ascii="Times New Roman" w:hAnsi="Times New Roman" w:cs="Times New Roman"/>
        </w:rPr>
      </w:pPr>
      <w:r w:rsidRPr="001C576E">
        <w:rPr>
          <w:rFonts w:ascii="Times New Roman" w:hAnsi="Times New Roman" w:cs="Times New Roman"/>
        </w:rPr>
        <w:t>Fiksavimo laikas gali užsitęsti nuo kelių valandų iki kelių savaičių. Tai priklauso nuo audinio tipo ir mėginio storio, fiksavimo temperatūros, audinio ir fiksuojančios medžiagos santykio bei formaldehido koncentracijos.</w:t>
      </w:r>
    </w:p>
    <w:p w:rsidR="006E1608" w:rsidRPr="004A5169" w:rsidRDefault="006E1608" w:rsidP="006E1608">
      <w:pPr>
        <w:spacing w:after="0"/>
        <w:jc w:val="both"/>
        <w:rPr>
          <w:rFonts w:ascii="Times New Roman" w:hAnsi="Times New Roman" w:cs="Times New Roman"/>
          <w:b/>
        </w:rPr>
      </w:pPr>
      <w:r w:rsidRPr="004A5169">
        <w:rPr>
          <w:rFonts w:ascii="Times New Roman" w:hAnsi="Times New Roman" w:cs="Times New Roman"/>
          <w:b/>
        </w:rPr>
        <w:t>Mėginio paruošimas ir diagnostika</w:t>
      </w:r>
    </w:p>
    <w:p w:rsidR="006E1608" w:rsidRPr="004A5169" w:rsidRDefault="006E1608" w:rsidP="006E1608">
      <w:pPr>
        <w:spacing w:after="0"/>
        <w:jc w:val="both"/>
        <w:rPr>
          <w:rFonts w:ascii="Times New Roman" w:hAnsi="Times New Roman" w:cs="Times New Roman"/>
        </w:rPr>
      </w:pPr>
      <w:r w:rsidRPr="004A5169">
        <w:rPr>
          <w:rFonts w:ascii="Times New Roman" w:hAnsi="Times New Roman" w:cs="Times New Roman"/>
        </w:rPr>
        <w:t>Naudokite atitinkamas darbo priemones mėginiams surinkti. Paruoškite mėginius naudodami šiuolaikines technologijas ir paženklinkite juos aiškiai.</w:t>
      </w:r>
    </w:p>
    <w:p w:rsidR="006E1608" w:rsidRPr="004A5169" w:rsidRDefault="006E1608" w:rsidP="006E1608">
      <w:pPr>
        <w:spacing w:after="0"/>
        <w:jc w:val="both"/>
        <w:rPr>
          <w:rFonts w:ascii="Times New Roman" w:hAnsi="Times New Roman" w:cs="Times New Roman"/>
          <w:b/>
        </w:rPr>
      </w:pPr>
      <w:r w:rsidRPr="004A5169">
        <w:rPr>
          <w:rFonts w:ascii="Times New Roman" w:hAnsi="Times New Roman" w:cs="Times New Roman"/>
          <w:b/>
        </w:rPr>
        <w:t>Sauga darbo vietoje ir aplinkos apsauga</w:t>
      </w:r>
    </w:p>
    <w:p w:rsidR="006E1608" w:rsidRPr="004A5169" w:rsidRDefault="006E1608" w:rsidP="006E1608">
      <w:pPr>
        <w:spacing w:after="0"/>
        <w:jc w:val="both"/>
        <w:rPr>
          <w:rFonts w:ascii="Times New Roman" w:hAnsi="Times New Roman" w:cs="Times New Roman"/>
        </w:rPr>
      </w:pPr>
      <w:r w:rsidRPr="004A5169">
        <w:rPr>
          <w:rFonts w:ascii="Times New Roman" w:hAnsi="Times New Roman" w:cs="Times New Roman"/>
        </w:rPr>
        <w:t>Dirbkite vadovaudamiesi saugaus darbo ir aplinkos apsaugos taisyklėmis. Visi darbo procese naudojami chemikalai ir jų tirpalai yra kenksmingi sveikatai. Informacija apie pavojus pateikta medžiagos saugos duomenų lapuose. Cheminės medžiagos esančios reagente gali būti pavojingos sveikatai.</w:t>
      </w:r>
    </w:p>
    <w:p w:rsidR="006E1608" w:rsidRPr="004A5169" w:rsidRDefault="006E1608" w:rsidP="006E1608">
      <w:pPr>
        <w:spacing w:after="0"/>
        <w:jc w:val="both"/>
        <w:rPr>
          <w:rFonts w:ascii="Times New Roman" w:hAnsi="Times New Roman" w:cs="Times New Roman"/>
          <w:b/>
        </w:rPr>
      </w:pPr>
      <w:r w:rsidRPr="004A5169">
        <w:rPr>
          <w:rFonts w:ascii="Times New Roman" w:hAnsi="Times New Roman" w:cs="Times New Roman"/>
          <w:b/>
        </w:rPr>
        <w:t>Saugojimas, stabilumas ir galiojimo laikai</w:t>
      </w:r>
    </w:p>
    <w:p w:rsidR="006E1608" w:rsidRPr="004A5169" w:rsidRDefault="006E1608" w:rsidP="006E1608">
      <w:pPr>
        <w:spacing w:after="0"/>
        <w:jc w:val="both"/>
        <w:rPr>
          <w:rFonts w:ascii="Times New Roman" w:hAnsi="Times New Roman" w:cs="Times New Roman"/>
        </w:rPr>
      </w:pPr>
      <w:r>
        <w:rPr>
          <w:rFonts w:ascii="Times New Roman" w:hAnsi="Times New Roman" w:cs="Times New Roman"/>
        </w:rPr>
        <w:t>Formaldehidas NB</w:t>
      </w:r>
      <w:r w:rsidR="002752BC">
        <w:rPr>
          <w:rFonts w:ascii="Times New Roman" w:hAnsi="Times New Roman" w:cs="Times New Roman"/>
        </w:rPr>
        <w:t>4</w:t>
      </w:r>
      <w:r>
        <w:rPr>
          <w:rFonts w:ascii="Calibri" w:hAnsi="Calibri" w:cs="Times New Roman"/>
        </w:rPr>
        <w:t>%</w:t>
      </w:r>
      <w:r>
        <w:rPr>
          <w:rFonts w:ascii="Times New Roman" w:hAnsi="Times New Roman" w:cs="Times New Roman"/>
        </w:rPr>
        <w:t xml:space="preserve"> </w:t>
      </w:r>
      <w:r w:rsidRPr="004A5169">
        <w:rPr>
          <w:rFonts w:ascii="Times New Roman" w:hAnsi="Times New Roman" w:cs="Times New Roman"/>
        </w:rPr>
        <w:t>turi būti saugoma</w:t>
      </w:r>
      <w:r>
        <w:rPr>
          <w:rFonts w:ascii="Times New Roman" w:hAnsi="Times New Roman" w:cs="Times New Roman"/>
        </w:rPr>
        <w:t>i</w:t>
      </w:r>
      <w:r w:rsidRPr="004A5169">
        <w:rPr>
          <w:rFonts w:ascii="Times New Roman" w:hAnsi="Times New Roman" w:cs="Times New Roman"/>
        </w:rPr>
        <w:t xml:space="preserve"> kambario temperatūroje 15-25</w:t>
      </w:r>
      <w:r w:rsidRPr="004A5169">
        <w:rPr>
          <w:rFonts w:ascii="Times New Roman" w:hAnsi="Times New Roman" w:cs="Times New Roman"/>
          <w:vertAlign w:val="superscript"/>
        </w:rPr>
        <w:t>0</w:t>
      </w:r>
      <w:r w:rsidRPr="004A5169">
        <w:rPr>
          <w:rFonts w:ascii="Times New Roman" w:hAnsi="Times New Roman" w:cs="Times New Roman"/>
        </w:rPr>
        <w:t>C. Nelaikykite šaltoje patalpoje, neužšaldykite, nelaikykite esant tiesioginiams saulės spinduliams. Produktas galioja iki datos nurodytos ant pakuotės.</w:t>
      </w:r>
    </w:p>
    <w:p w:rsidR="006E1608" w:rsidRDefault="006E1608" w:rsidP="006E1608">
      <w:pPr>
        <w:spacing w:after="0"/>
        <w:jc w:val="both"/>
        <w:rPr>
          <w:rFonts w:ascii="Times New Roman" w:hAnsi="Times New Roman" w:cs="Times New Roman"/>
        </w:rPr>
      </w:pPr>
    </w:p>
    <w:p w:rsidR="006E1608" w:rsidRPr="00AE2D37" w:rsidRDefault="006E1608" w:rsidP="006E1608">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2551"/>
        <w:gridCol w:w="2551"/>
      </w:tblGrid>
      <w:tr w:rsidR="006E1608" w:rsidRPr="00A35991" w:rsidTr="004A0412">
        <w:trPr>
          <w:trHeight w:val="235"/>
        </w:trPr>
        <w:tc>
          <w:tcPr>
            <w:tcW w:w="675" w:type="dxa"/>
            <w:vAlign w:val="center"/>
          </w:tcPr>
          <w:p w:rsidR="006E1608" w:rsidRPr="004D3CA4" w:rsidRDefault="006E1608" w:rsidP="004A0412">
            <w:pPr>
              <w:spacing w:after="0" w:line="240" w:lineRule="auto"/>
              <w:rPr>
                <w:sz w:val="16"/>
                <w:szCs w:val="16"/>
              </w:rPr>
            </w:pPr>
            <w:r w:rsidRPr="004D3CA4">
              <w:rPr>
                <w:noProof/>
                <w:sz w:val="16"/>
                <w:szCs w:val="16"/>
                <w:lang w:val="en-US"/>
              </w:rPr>
              <w:drawing>
                <wp:inline distT="0" distB="0" distL="0" distR="0" wp14:anchorId="154E2EB2" wp14:editId="73622CEA">
                  <wp:extent cx="157480" cy="118661"/>
                  <wp:effectExtent l="0" t="0" r="0" b="0"/>
                  <wp:docPr id="1" name="Picture 1" descr="Евросою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вросоюз"/>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48" cy="122027"/>
                          </a:xfrm>
                          <a:prstGeom prst="rect">
                            <a:avLst/>
                          </a:prstGeom>
                          <a:noFill/>
                          <a:ln>
                            <a:noFill/>
                          </a:ln>
                        </pic:spPr>
                      </pic:pic>
                    </a:graphicData>
                  </a:graphic>
                </wp:inline>
              </w:drawing>
            </w:r>
          </w:p>
        </w:tc>
        <w:tc>
          <w:tcPr>
            <w:tcW w:w="2552" w:type="dxa"/>
            <w:vAlign w:val="center"/>
          </w:tcPr>
          <w:p w:rsidR="006E1608" w:rsidRPr="004D3CA4" w:rsidRDefault="006E1608" w:rsidP="004A0412">
            <w:pPr>
              <w:spacing w:after="0" w:line="240" w:lineRule="auto"/>
              <w:rPr>
                <w:rFonts w:ascii="Times New Roman" w:hAnsi="Times New Roman" w:cs="Times New Roman"/>
                <w:sz w:val="16"/>
                <w:szCs w:val="16"/>
              </w:rPr>
            </w:pPr>
            <w:r w:rsidRPr="004D3CA4">
              <w:rPr>
                <w:rFonts w:ascii="Times New Roman" w:hAnsi="Times New Roman" w:cs="Times New Roman"/>
                <w:sz w:val="16"/>
                <w:szCs w:val="16"/>
              </w:rPr>
              <w:t>CE sertifikatas</w:t>
            </w:r>
          </w:p>
        </w:tc>
        <w:tc>
          <w:tcPr>
            <w:tcW w:w="709" w:type="dxa"/>
            <w:vAlign w:val="center"/>
          </w:tcPr>
          <w:p w:rsidR="006E1608" w:rsidRPr="004D3CA4" w:rsidRDefault="006E1608" w:rsidP="004A0412">
            <w:pPr>
              <w:spacing w:after="0" w:line="240" w:lineRule="auto"/>
              <w:rPr>
                <w:sz w:val="16"/>
                <w:szCs w:val="16"/>
              </w:rPr>
            </w:pPr>
            <w:r w:rsidRPr="004D3CA4">
              <w:rPr>
                <w:noProof/>
                <w:sz w:val="16"/>
                <w:szCs w:val="16"/>
                <w:lang w:val="en-US"/>
              </w:rPr>
              <w:drawing>
                <wp:inline distT="0" distB="0" distL="0" distR="0" wp14:anchorId="18620D70" wp14:editId="04AA420E">
                  <wp:extent cx="210589" cy="130245"/>
                  <wp:effectExtent l="0" t="0" r="0" b="3175"/>
                  <wp:docPr id="2" name="Picture 2" descr="Градус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адусни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746" cy="132816"/>
                          </a:xfrm>
                          <a:prstGeom prst="rect">
                            <a:avLst/>
                          </a:prstGeom>
                          <a:noFill/>
                          <a:ln>
                            <a:noFill/>
                          </a:ln>
                        </pic:spPr>
                      </pic:pic>
                    </a:graphicData>
                  </a:graphic>
                </wp:inline>
              </w:drawing>
            </w:r>
          </w:p>
        </w:tc>
        <w:tc>
          <w:tcPr>
            <w:tcW w:w="2551" w:type="dxa"/>
            <w:vAlign w:val="center"/>
          </w:tcPr>
          <w:p w:rsidR="006E1608" w:rsidRPr="004D3CA4" w:rsidRDefault="006E1608" w:rsidP="004A0412">
            <w:pPr>
              <w:spacing w:after="0"/>
              <w:jc w:val="both"/>
              <w:rPr>
                <w:rFonts w:ascii="Times New Roman" w:hAnsi="Times New Roman" w:cs="Times New Roman"/>
                <w:sz w:val="16"/>
                <w:szCs w:val="16"/>
              </w:rPr>
            </w:pPr>
            <w:r w:rsidRPr="004D3CA4">
              <w:rPr>
                <w:rFonts w:ascii="Times New Roman" w:hAnsi="Times New Roman" w:cs="Times New Roman"/>
                <w:sz w:val="16"/>
                <w:szCs w:val="16"/>
              </w:rPr>
              <w:t>Saugojimo temperatūra</w:t>
            </w:r>
            <w:r w:rsidRPr="0096005F">
              <w:rPr>
                <w:rFonts w:ascii="Times New Roman" w:hAnsi="Times New Roman" w:cs="Times New Roman"/>
                <w:b/>
                <w:sz w:val="20"/>
                <w:szCs w:val="20"/>
              </w:rPr>
              <w:t xml:space="preserve"> </w:t>
            </w:r>
          </w:p>
        </w:tc>
        <w:tc>
          <w:tcPr>
            <w:tcW w:w="2551" w:type="dxa"/>
            <w:vMerge w:val="restart"/>
          </w:tcPr>
          <w:p w:rsidR="006E1608" w:rsidRPr="004D3CA4" w:rsidRDefault="006E1608" w:rsidP="004A0412">
            <w:pPr>
              <w:spacing w:after="0"/>
              <w:rPr>
                <w:rFonts w:ascii="Times New Roman" w:hAnsi="Times New Roman" w:cs="Times New Roman"/>
                <w:sz w:val="16"/>
                <w:szCs w:val="16"/>
              </w:rPr>
            </w:pPr>
            <w:r w:rsidRPr="004D3CA4">
              <w:rPr>
                <w:rFonts w:ascii="Times New Roman" w:hAnsi="Times New Roman" w:cs="Times New Roman"/>
                <w:b/>
                <w:sz w:val="16"/>
                <w:szCs w:val="16"/>
              </w:rPr>
              <w:t>Gamintojas</w:t>
            </w:r>
            <w:r w:rsidRPr="004D3CA4">
              <w:rPr>
                <w:rFonts w:ascii="Times New Roman" w:hAnsi="Times New Roman" w:cs="Times New Roman"/>
                <w:sz w:val="16"/>
                <w:szCs w:val="16"/>
              </w:rPr>
              <w:t>Biognost Ltd.</w:t>
            </w:r>
          </w:p>
          <w:p w:rsidR="006E1608" w:rsidRPr="004D3CA4" w:rsidRDefault="006E1608" w:rsidP="004A0412">
            <w:pPr>
              <w:spacing w:after="0"/>
              <w:rPr>
                <w:sz w:val="16"/>
                <w:szCs w:val="16"/>
              </w:rPr>
            </w:pPr>
            <w:r w:rsidRPr="004D3CA4">
              <w:rPr>
                <w:rFonts w:ascii="Times New Roman" w:hAnsi="Times New Roman" w:cs="Times New Roman"/>
                <w:sz w:val="16"/>
                <w:szCs w:val="16"/>
              </w:rPr>
              <w:t>Medjugorska  5910040 Zagreb</w:t>
            </w:r>
            <w:r>
              <w:rPr>
                <w:rFonts w:ascii="Times New Roman" w:hAnsi="Times New Roman" w:cs="Times New Roman"/>
                <w:sz w:val="16"/>
                <w:szCs w:val="16"/>
              </w:rPr>
              <w:t xml:space="preserve">  </w:t>
            </w:r>
            <w:r w:rsidRPr="004D3CA4">
              <w:rPr>
                <w:rFonts w:ascii="Times New Roman" w:hAnsi="Times New Roman" w:cs="Times New Roman"/>
                <w:sz w:val="16"/>
                <w:szCs w:val="16"/>
              </w:rPr>
              <w:t>Croatia, www.biognost.com</w:t>
            </w:r>
          </w:p>
          <w:p w:rsidR="006E1608" w:rsidRPr="004D3CA4" w:rsidRDefault="006E1608" w:rsidP="004A0412">
            <w:pPr>
              <w:spacing w:after="0"/>
              <w:jc w:val="both"/>
              <w:rPr>
                <w:rFonts w:ascii="Times New Roman" w:hAnsi="Times New Roman" w:cs="Times New Roman"/>
                <w:sz w:val="16"/>
                <w:szCs w:val="16"/>
              </w:rPr>
            </w:pPr>
          </w:p>
        </w:tc>
      </w:tr>
      <w:tr w:rsidR="006E1608" w:rsidRPr="00A35991" w:rsidTr="004A0412">
        <w:trPr>
          <w:trHeight w:val="276"/>
        </w:trPr>
        <w:tc>
          <w:tcPr>
            <w:tcW w:w="675" w:type="dxa"/>
            <w:vAlign w:val="center"/>
          </w:tcPr>
          <w:p w:rsidR="006E1608" w:rsidRPr="004D3CA4" w:rsidRDefault="006E1608" w:rsidP="004A0412">
            <w:pPr>
              <w:spacing w:after="0" w:line="240" w:lineRule="auto"/>
              <w:rPr>
                <w:sz w:val="16"/>
                <w:szCs w:val="16"/>
              </w:rPr>
            </w:pPr>
            <w:r w:rsidRPr="004D3CA4">
              <w:rPr>
                <w:noProof/>
                <w:sz w:val="16"/>
                <w:szCs w:val="16"/>
                <w:lang w:val="en-US"/>
              </w:rPr>
              <w:drawing>
                <wp:inline distT="0" distB="0" distL="0" distR="0" wp14:anchorId="12B4C7B0" wp14:editId="3C5D720C">
                  <wp:extent cx="101600" cy="81501"/>
                  <wp:effectExtent l="0" t="0" r="0" b="0"/>
                  <wp:docPr id="3" name="Picture 3" descr="I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269" cy="86851"/>
                          </a:xfrm>
                          <a:prstGeom prst="rect">
                            <a:avLst/>
                          </a:prstGeom>
                          <a:noFill/>
                          <a:ln>
                            <a:noFill/>
                          </a:ln>
                        </pic:spPr>
                      </pic:pic>
                    </a:graphicData>
                  </a:graphic>
                </wp:inline>
              </w:drawing>
            </w:r>
          </w:p>
        </w:tc>
        <w:tc>
          <w:tcPr>
            <w:tcW w:w="2552" w:type="dxa"/>
            <w:vAlign w:val="center"/>
          </w:tcPr>
          <w:p w:rsidR="006E1608" w:rsidRPr="004D3CA4" w:rsidRDefault="006E1608" w:rsidP="004A0412">
            <w:pPr>
              <w:spacing w:after="0" w:line="240" w:lineRule="auto"/>
              <w:rPr>
                <w:rFonts w:ascii="Times New Roman" w:hAnsi="Times New Roman" w:cs="Times New Roman"/>
                <w:sz w:val="16"/>
                <w:szCs w:val="16"/>
              </w:rPr>
            </w:pPr>
            <w:r w:rsidRPr="004D3CA4">
              <w:rPr>
                <w:rFonts w:ascii="Times New Roman" w:hAnsi="Times New Roman" w:cs="Times New Roman"/>
                <w:sz w:val="16"/>
                <w:szCs w:val="16"/>
              </w:rPr>
              <w:t>tik in vitro diagnostikos tikslais</w:t>
            </w:r>
          </w:p>
        </w:tc>
        <w:tc>
          <w:tcPr>
            <w:tcW w:w="709" w:type="dxa"/>
            <w:vAlign w:val="center"/>
          </w:tcPr>
          <w:p w:rsidR="006E1608" w:rsidRPr="004D3CA4" w:rsidRDefault="006E1608" w:rsidP="004A0412">
            <w:pPr>
              <w:spacing w:after="0" w:line="240" w:lineRule="auto"/>
              <w:rPr>
                <w:sz w:val="16"/>
                <w:szCs w:val="16"/>
              </w:rPr>
            </w:pPr>
            <w:r w:rsidRPr="004D3CA4">
              <w:rPr>
                <w:noProof/>
                <w:sz w:val="16"/>
                <w:szCs w:val="16"/>
                <w:lang w:val="en-US"/>
              </w:rPr>
              <w:drawing>
                <wp:inline distT="0" distB="0" distL="0" distR="0" wp14:anchorId="67ECF84B" wp14:editId="08FE4F75">
                  <wp:extent cx="66040" cy="79126"/>
                  <wp:effectExtent l="0" t="0" r="0" b="0"/>
                  <wp:docPr id="4" name="Picture 4" descr="песочные ч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сочные часы"/>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190" cy="79306"/>
                          </a:xfrm>
                          <a:prstGeom prst="rect">
                            <a:avLst/>
                          </a:prstGeom>
                          <a:noFill/>
                          <a:ln>
                            <a:noFill/>
                          </a:ln>
                        </pic:spPr>
                      </pic:pic>
                    </a:graphicData>
                  </a:graphic>
                </wp:inline>
              </w:drawing>
            </w:r>
          </w:p>
        </w:tc>
        <w:tc>
          <w:tcPr>
            <w:tcW w:w="2551" w:type="dxa"/>
            <w:vAlign w:val="center"/>
          </w:tcPr>
          <w:p w:rsidR="006E1608" w:rsidRPr="004D3CA4" w:rsidRDefault="006E1608" w:rsidP="004A0412">
            <w:pPr>
              <w:spacing w:after="0"/>
              <w:jc w:val="both"/>
            </w:pPr>
            <w:r w:rsidRPr="004D3CA4">
              <w:rPr>
                <w:rFonts w:ascii="Times New Roman" w:hAnsi="Times New Roman" w:cs="Times New Roman"/>
                <w:sz w:val="16"/>
                <w:szCs w:val="16"/>
              </w:rPr>
              <w:t>Galiojimo data ССYY-MM-DD</w:t>
            </w:r>
          </w:p>
        </w:tc>
        <w:tc>
          <w:tcPr>
            <w:tcW w:w="2551" w:type="dxa"/>
            <w:vMerge/>
          </w:tcPr>
          <w:p w:rsidR="006E1608" w:rsidRPr="004D3CA4" w:rsidRDefault="006E1608" w:rsidP="004A0412">
            <w:pPr>
              <w:spacing w:after="0"/>
              <w:jc w:val="both"/>
              <w:rPr>
                <w:rFonts w:ascii="Times New Roman" w:hAnsi="Times New Roman" w:cs="Times New Roman"/>
                <w:sz w:val="16"/>
                <w:szCs w:val="16"/>
              </w:rPr>
            </w:pPr>
          </w:p>
        </w:tc>
      </w:tr>
      <w:tr w:rsidR="006E1608" w:rsidRPr="00A35991" w:rsidTr="004A0412">
        <w:trPr>
          <w:trHeight w:val="90"/>
        </w:trPr>
        <w:tc>
          <w:tcPr>
            <w:tcW w:w="675" w:type="dxa"/>
            <w:vAlign w:val="center"/>
          </w:tcPr>
          <w:p w:rsidR="006E1608" w:rsidRPr="004D3CA4" w:rsidRDefault="006E1608" w:rsidP="004A0412">
            <w:pPr>
              <w:spacing w:after="0" w:line="240" w:lineRule="auto"/>
              <w:rPr>
                <w:sz w:val="16"/>
                <w:szCs w:val="16"/>
              </w:rPr>
            </w:pPr>
          </w:p>
        </w:tc>
        <w:tc>
          <w:tcPr>
            <w:tcW w:w="2552" w:type="dxa"/>
            <w:vAlign w:val="center"/>
          </w:tcPr>
          <w:p w:rsidR="006E1608" w:rsidRPr="004D3CA4" w:rsidRDefault="006E1608" w:rsidP="004A0412">
            <w:pPr>
              <w:spacing w:after="0" w:line="240" w:lineRule="auto"/>
              <w:rPr>
                <w:rFonts w:ascii="Times New Roman" w:hAnsi="Times New Roman" w:cs="Times New Roman"/>
                <w:sz w:val="16"/>
                <w:szCs w:val="16"/>
              </w:rPr>
            </w:pPr>
            <w:r w:rsidRPr="004D3CA4">
              <w:rPr>
                <w:rFonts w:ascii="Times New Roman" w:hAnsi="Times New Roman" w:cs="Times New Roman"/>
                <w:sz w:val="16"/>
                <w:szCs w:val="16"/>
              </w:rPr>
              <w:t>Gamintojas</w:t>
            </w:r>
          </w:p>
        </w:tc>
        <w:tc>
          <w:tcPr>
            <w:tcW w:w="709" w:type="dxa"/>
            <w:vAlign w:val="center"/>
          </w:tcPr>
          <w:p w:rsidR="006E1608" w:rsidRPr="004D3CA4" w:rsidRDefault="006E1608" w:rsidP="004A0412">
            <w:pPr>
              <w:spacing w:after="0" w:line="240" w:lineRule="auto"/>
              <w:rPr>
                <w:sz w:val="16"/>
                <w:szCs w:val="16"/>
              </w:rPr>
            </w:pPr>
            <w:r w:rsidRPr="004D3CA4">
              <w:rPr>
                <w:noProof/>
                <w:sz w:val="16"/>
                <w:szCs w:val="16"/>
                <w:lang w:val="en-US"/>
              </w:rPr>
              <w:drawing>
                <wp:inline distT="0" distB="0" distL="0" distR="0" wp14:anchorId="1F3AF8CC" wp14:editId="346773EA">
                  <wp:extent cx="106680" cy="79583"/>
                  <wp:effectExtent l="0" t="0" r="7620" b="0"/>
                  <wp:docPr id="5" name="Picture 5" descr="Инструк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нструкция"/>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424" cy="80138"/>
                          </a:xfrm>
                          <a:prstGeom prst="rect">
                            <a:avLst/>
                          </a:prstGeom>
                          <a:noFill/>
                          <a:ln>
                            <a:noFill/>
                          </a:ln>
                        </pic:spPr>
                      </pic:pic>
                    </a:graphicData>
                  </a:graphic>
                </wp:inline>
              </w:drawing>
            </w:r>
          </w:p>
        </w:tc>
        <w:tc>
          <w:tcPr>
            <w:tcW w:w="2551" w:type="dxa"/>
            <w:vAlign w:val="center"/>
          </w:tcPr>
          <w:p w:rsidR="006E1608" w:rsidRPr="004D3CA4" w:rsidRDefault="006E1608" w:rsidP="004A0412">
            <w:pPr>
              <w:spacing w:after="0" w:line="240" w:lineRule="auto"/>
              <w:rPr>
                <w:rFonts w:ascii="Times New Roman" w:hAnsi="Times New Roman" w:cs="Times New Roman"/>
                <w:sz w:val="16"/>
                <w:szCs w:val="16"/>
              </w:rPr>
            </w:pPr>
            <w:r w:rsidRPr="004D3CA4">
              <w:rPr>
                <w:rFonts w:ascii="Times New Roman" w:hAnsi="Times New Roman" w:cs="Times New Roman"/>
                <w:sz w:val="16"/>
                <w:szCs w:val="16"/>
              </w:rPr>
              <w:t>Darbo instrukcija</w:t>
            </w:r>
          </w:p>
        </w:tc>
        <w:tc>
          <w:tcPr>
            <w:tcW w:w="2551" w:type="dxa"/>
            <w:vMerge/>
          </w:tcPr>
          <w:p w:rsidR="006E1608" w:rsidRPr="004D3CA4" w:rsidRDefault="006E1608" w:rsidP="004A0412">
            <w:pPr>
              <w:spacing w:after="0" w:line="240" w:lineRule="auto"/>
              <w:rPr>
                <w:rFonts w:ascii="Times New Roman" w:hAnsi="Times New Roman" w:cs="Times New Roman"/>
                <w:sz w:val="16"/>
                <w:szCs w:val="16"/>
              </w:rPr>
            </w:pPr>
          </w:p>
        </w:tc>
      </w:tr>
      <w:tr w:rsidR="006E1608" w:rsidRPr="00A35991" w:rsidTr="004A0412">
        <w:trPr>
          <w:trHeight w:val="90"/>
        </w:trPr>
        <w:tc>
          <w:tcPr>
            <w:tcW w:w="675" w:type="dxa"/>
            <w:vAlign w:val="center"/>
          </w:tcPr>
          <w:p w:rsidR="006E1608" w:rsidRPr="004D3CA4" w:rsidRDefault="006E1608" w:rsidP="004A0412">
            <w:pPr>
              <w:spacing w:after="0" w:line="240" w:lineRule="auto"/>
              <w:rPr>
                <w:sz w:val="16"/>
                <w:szCs w:val="16"/>
              </w:rPr>
            </w:pPr>
            <w:r w:rsidRPr="004D3CA4">
              <w:rPr>
                <w:noProof/>
                <w:color w:val="FF0000"/>
                <w:sz w:val="16"/>
                <w:szCs w:val="16"/>
                <w:lang w:val="en-US"/>
              </w:rPr>
              <w:drawing>
                <wp:inline distT="0" distB="0" distL="0" distR="0" wp14:anchorId="7FD6AE9F" wp14:editId="69F60910">
                  <wp:extent cx="147320" cy="115153"/>
                  <wp:effectExtent l="0" t="0" r="5080" b="0"/>
                  <wp:docPr id="6" name="Picture 6" descr="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402" cy="115999"/>
                          </a:xfrm>
                          <a:prstGeom prst="rect">
                            <a:avLst/>
                          </a:prstGeom>
                          <a:noFill/>
                          <a:ln>
                            <a:noFill/>
                          </a:ln>
                        </pic:spPr>
                      </pic:pic>
                    </a:graphicData>
                  </a:graphic>
                </wp:inline>
              </w:drawing>
            </w:r>
          </w:p>
        </w:tc>
        <w:tc>
          <w:tcPr>
            <w:tcW w:w="2552" w:type="dxa"/>
            <w:vAlign w:val="center"/>
          </w:tcPr>
          <w:p w:rsidR="006E1608" w:rsidRPr="004D3CA4" w:rsidRDefault="006E1608" w:rsidP="004A0412">
            <w:pPr>
              <w:spacing w:after="0" w:line="240" w:lineRule="auto"/>
              <w:rPr>
                <w:rFonts w:ascii="Times New Roman" w:hAnsi="Times New Roman" w:cs="Times New Roman"/>
                <w:sz w:val="16"/>
                <w:szCs w:val="16"/>
              </w:rPr>
            </w:pPr>
            <w:r w:rsidRPr="004D3CA4">
              <w:rPr>
                <w:rFonts w:ascii="Times New Roman" w:hAnsi="Times New Roman" w:cs="Times New Roman"/>
                <w:sz w:val="16"/>
                <w:szCs w:val="16"/>
              </w:rPr>
              <w:t>Lot kodas</w:t>
            </w:r>
          </w:p>
        </w:tc>
        <w:tc>
          <w:tcPr>
            <w:tcW w:w="709" w:type="dxa"/>
            <w:vAlign w:val="center"/>
          </w:tcPr>
          <w:p w:rsidR="006E1608" w:rsidRPr="004D3CA4" w:rsidRDefault="006E1608" w:rsidP="004A0412">
            <w:pPr>
              <w:spacing w:after="0" w:line="240" w:lineRule="auto"/>
              <w:rPr>
                <w:sz w:val="16"/>
                <w:szCs w:val="16"/>
              </w:rPr>
            </w:pPr>
            <w:r w:rsidRPr="004D3CA4">
              <w:rPr>
                <w:noProof/>
                <w:sz w:val="16"/>
                <w:szCs w:val="16"/>
                <w:lang w:val="en-US"/>
              </w:rPr>
              <w:drawing>
                <wp:inline distT="0" distB="0" distL="0" distR="0" wp14:anchorId="1EC69C08" wp14:editId="445CA3FD">
                  <wp:extent cx="147320" cy="72906"/>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511" cy="75475"/>
                          </a:xfrm>
                          <a:prstGeom prst="rect">
                            <a:avLst/>
                          </a:prstGeom>
                          <a:noFill/>
                          <a:ln>
                            <a:noFill/>
                          </a:ln>
                        </pic:spPr>
                      </pic:pic>
                    </a:graphicData>
                  </a:graphic>
                </wp:inline>
              </w:drawing>
            </w:r>
          </w:p>
        </w:tc>
        <w:tc>
          <w:tcPr>
            <w:tcW w:w="2551" w:type="dxa"/>
            <w:vAlign w:val="center"/>
          </w:tcPr>
          <w:p w:rsidR="006E1608" w:rsidRPr="004D3CA4" w:rsidRDefault="006E1608" w:rsidP="004A0412">
            <w:pPr>
              <w:spacing w:after="0" w:line="240" w:lineRule="auto"/>
              <w:rPr>
                <w:rFonts w:ascii="Times New Roman" w:hAnsi="Times New Roman" w:cs="Times New Roman"/>
                <w:sz w:val="16"/>
                <w:szCs w:val="16"/>
              </w:rPr>
            </w:pPr>
            <w:r w:rsidRPr="004D3CA4">
              <w:rPr>
                <w:rFonts w:ascii="Times New Roman" w:hAnsi="Times New Roman" w:cs="Times New Roman"/>
                <w:sz w:val="16"/>
                <w:szCs w:val="16"/>
              </w:rPr>
              <w:t>Lakios medžiagos</w:t>
            </w:r>
          </w:p>
        </w:tc>
        <w:tc>
          <w:tcPr>
            <w:tcW w:w="2551" w:type="dxa"/>
            <w:vMerge/>
          </w:tcPr>
          <w:p w:rsidR="006E1608" w:rsidRPr="004D3CA4" w:rsidRDefault="006E1608" w:rsidP="004A0412">
            <w:pPr>
              <w:spacing w:after="0" w:line="240" w:lineRule="auto"/>
              <w:rPr>
                <w:rFonts w:ascii="Times New Roman" w:hAnsi="Times New Roman" w:cs="Times New Roman"/>
                <w:sz w:val="16"/>
                <w:szCs w:val="16"/>
              </w:rPr>
            </w:pPr>
          </w:p>
        </w:tc>
      </w:tr>
    </w:tbl>
    <w:p w:rsidR="006E1608" w:rsidRDefault="006E1608" w:rsidP="006E1608"/>
    <w:p w:rsidR="00D91C62" w:rsidRDefault="003D1294"/>
    <w:sectPr w:rsidR="00D91C62" w:rsidSect="001C576E">
      <w:pgSz w:w="11907" w:h="16839" w:code="9"/>
      <w:pgMar w:top="1191" w:right="1134" w:bottom="102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1294">
      <w:pPr>
        <w:spacing w:after="0" w:line="240" w:lineRule="auto"/>
      </w:pPr>
      <w:r>
        <w:separator/>
      </w:r>
    </w:p>
  </w:endnote>
  <w:endnote w:type="continuationSeparator" w:id="0">
    <w:p w:rsidR="00000000" w:rsidRDefault="003D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1294">
      <w:pPr>
        <w:spacing w:after="0" w:line="240" w:lineRule="auto"/>
      </w:pPr>
      <w:r>
        <w:separator/>
      </w:r>
    </w:p>
  </w:footnote>
  <w:footnote w:type="continuationSeparator" w:id="0">
    <w:p w:rsidR="00000000" w:rsidRDefault="003D1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312" w:rsidRDefault="002752BC">
    <w:pPr>
      <w:pStyle w:val="Header"/>
    </w:pPr>
    <w:r w:rsidRPr="004A5169">
      <w:rPr>
        <w:rFonts w:ascii="Times New Roman" w:hAnsi="Times New Roman" w:cs="Times New Roman"/>
        <w:noProof/>
        <w:lang w:val="en-US"/>
      </w:rPr>
      <w:drawing>
        <wp:inline distT="0" distB="0" distL="0" distR="0" wp14:anchorId="442C472A" wp14:editId="71B2F26B">
          <wp:extent cx="1214651" cy="303663"/>
          <wp:effectExtent l="0" t="0" r="508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12206" cy="3030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Евросоюз" style="width:12.75pt;height:9.75pt;visibility:visible;mso-wrap-style:square" o:bullet="t">
        <v:imagedata r:id="rId1" o:title="Евросоюз"/>
      </v:shape>
    </w:pict>
  </w:numPicBullet>
  <w:abstractNum w:abstractNumId="0">
    <w:nsid w:val="5C6726F3"/>
    <w:multiLevelType w:val="hybridMultilevel"/>
    <w:tmpl w:val="F62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721C4C"/>
    <w:multiLevelType w:val="hybridMultilevel"/>
    <w:tmpl w:val="6E3A2922"/>
    <w:lvl w:ilvl="0" w:tplc="67B27110">
      <w:start w:val="1"/>
      <w:numFmt w:val="bullet"/>
      <w:lvlText w:val=""/>
      <w:lvlPicBulletId w:val="0"/>
      <w:lvlJc w:val="left"/>
      <w:pPr>
        <w:tabs>
          <w:tab w:val="num" w:pos="720"/>
        </w:tabs>
        <w:ind w:left="720" w:hanging="360"/>
      </w:pPr>
      <w:rPr>
        <w:rFonts w:ascii="Symbol" w:hAnsi="Symbol" w:hint="default"/>
      </w:rPr>
    </w:lvl>
    <w:lvl w:ilvl="1" w:tplc="FC62D672" w:tentative="1">
      <w:start w:val="1"/>
      <w:numFmt w:val="bullet"/>
      <w:lvlText w:val=""/>
      <w:lvlJc w:val="left"/>
      <w:pPr>
        <w:tabs>
          <w:tab w:val="num" w:pos="1440"/>
        </w:tabs>
        <w:ind w:left="1440" w:hanging="360"/>
      </w:pPr>
      <w:rPr>
        <w:rFonts w:ascii="Symbol" w:hAnsi="Symbol" w:hint="default"/>
      </w:rPr>
    </w:lvl>
    <w:lvl w:ilvl="2" w:tplc="81643C0C" w:tentative="1">
      <w:start w:val="1"/>
      <w:numFmt w:val="bullet"/>
      <w:lvlText w:val=""/>
      <w:lvlJc w:val="left"/>
      <w:pPr>
        <w:tabs>
          <w:tab w:val="num" w:pos="2160"/>
        </w:tabs>
        <w:ind w:left="2160" w:hanging="360"/>
      </w:pPr>
      <w:rPr>
        <w:rFonts w:ascii="Symbol" w:hAnsi="Symbol" w:hint="default"/>
      </w:rPr>
    </w:lvl>
    <w:lvl w:ilvl="3" w:tplc="F000E870" w:tentative="1">
      <w:start w:val="1"/>
      <w:numFmt w:val="bullet"/>
      <w:lvlText w:val=""/>
      <w:lvlJc w:val="left"/>
      <w:pPr>
        <w:tabs>
          <w:tab w:val="num" w:pos="2880"/>
        </w:tabs>
        <w:ind w:left="2880" w:hanging="360"/>
      </w:pPr>
      <w:rPr>
        <w:rFonts w:ascii="Symbol" w:hAnsi="Symbol" w:hint="default"/>
      </w:rPr>
    </w:lvl>
    <w:lvl w:ilvl="4" w:tplc="C2245332" w:tentative="1">
      <w:start w:val="1"/>
      <w:numFmt w:val="bullet"/>
      <w:lvlText w:val=""/>
      <w:lvlJc w:val="left"/>
      <w:pPr>
        <w:tabs>
          <w:tab w:val="num" w:pos="3600"/>
        </w:tabs>
        <w:ind w:left="3600" w:hanging="360"/>
      </w:pPr>
      <w:rPr>
        <w:rFonts w:ascii="Symbol" w:hAnsi="Symbol" w:hint="default"/>
      </w:rPr>
    </w:lvl>
    <w:lvl w:ilvl="5" w:tplc="131EA7EE" w:tentative="1">
      <w:start w:val="1"/>
      <w:numFmt w:val="bullet"/>
      <w:lvlText w:val=""/>
      <w:lvlJc w:val="left"/>
      <w:pPr>
        <w:tabs>
          <w:tab w:val="num" w:pos="4320"/>
        </w:tabs>
        <w:ind w:left="4320" w:hanging="360"/>
      </w:pPr>
      <w:rPr>
        <w:rFonts w:ascii="Symbol" w:hAnsi="Symbol" w:hint="default"/>
      </w:rPr>
    </w:lvl>
    <w:lvl w:ilvl="6" w:tplc="04B046E4" w:tentative="1">
      <w:start w:val="1"/>
      <w:numFmt w:val="bullet"/>
      <w:lvlText w:val=""/>
      <w:lvlJc w:val="left"/>
      <w:pPr>
        <w:tabs>
          <w:tab w:val="num" w:pos="5040"/>
        </w:tabs>
        <w:ind w:left="5040" w:hanging="360"/>
      </w:pPr>
      <w:rPr>
        <w:rFonts w:ascii="Symbol" w:hAnsi="Symbol" w:hint="default"/>
      </w:rPr>
    </w:lvl>
    <w:lvl w:ilvl="7" w:tplc="F82AF22A" w:tentative="1">
      <w:start w:val="1"/>
      <w:numFmt w:val="bullet"/>
      <w:lvlText w:val=""/>
      <w:lvlJc w:val="left"/>
      <w:pPr>
        <w:tabs>
          <w:tab w:val="num" w:pos="5760"/>
        </w:tabs>
        <w:ind w:left="5760" w:hanging="360"/>
      </w:pPr>
      <w:rPr>
        <w:rFonts w:ascii="Symbol" w:hAnsi="Symbol" w:hint="default"/>
      </w:rPr>
    </w:lvl>
    <w:lvl w:ilvl="8" w:tplc="F3A6E63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08"/>
    <w:rsid w:val="0002619D"/>
    <w:rsid w:val="00115492"/>
    <w:rsid w:val="00176D31"/>
    <w:rsid w:val="001C576E"/>
    <w:rsid w:val="00274EA2"/>
    <w:rsid w:val="002752BC"/>
    <w:rsid w:val="00303FC2"/>
    <w:rsid w:val="003D1294"/>
    <w:rsid w:val="005E5F0D"/>
    <w:rsid w:val="006E1608"/>
    <w:rsid w:val="007A5A3D"/>
    <w:rsid w:val="00B206F9"/>
    <w:rsid w:val="00DC015F"/>
    <w:rsid w:val="00E4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08"/>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08"/>
    <w:pPr>
      <w:tabs>
        <w:tab w:val="center" w:pos="4986"/>
        <w:tab w:val="right" w:pos="9972"/>
      </w:tabs>
      <w:spacing w:after="0" w:line="240" w:lineRule="auto"/>
    </w:pPr>
  </w:style>
  <w:style w:type="character" w:customStyle="1" w:styleId="HeaderChar">
    <w:name w:val="Header Char"/>
    <w:basedOn w:val="DefaultParagraphFont"/>
    <w:link w:val="Header"/>
    <w:uiPriority w:val="99"/>
    <w:rsid w:val="006E1608"/>
    <w:rPr>
      <w:lang w:val="lt-LT"/>
    </w:rPr>
  </w:style>
  <w:style w:type="paragraph" w:styleId="ListParagraph">
    <w:name w:val="List Paragraph"/>
    <w:basedOn w:val="Normal"/>
    <w:uiPriority w:val="34"/>
    <w:qFormat/>
    <w:rsid w:val="006E1608"/>
    <w:pPr>
      <w:ind w:left="720"/>
      <w:contextualSpacing/>
    </w:pPr>
  </w:style>
  <w:style w:type="paragraph" w:styleId="BalloonText">
    <w:name w:val="Balloon Text"/>
    <w:basedOn w:val="Normal"/>
    <w:link w:val="BalloonTextChar"/>
    <w:uiPriority w:val="99"/>
    <w:semiHidden/>
    <w:unhideWhenUsed/>
    <w:rsid w:val="006E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08"/>
    <w:rPr>
      <w:rFonts w:ascii="Tahoma" w:hAnsi="Tahoma" w:cs="Tahoma"/>
      <w:sz w:val="16"/>
      <w:szCs w:val="16"/>
      <w:lang w:val="lt-LT"/>
    </w:rPr>
  </w:style>
  <w:style w:type="paragraph" w:styleId="NoSpacing">
    <w:name w:val="No Spacing"/>
    <w:uiPriority w:val="1"/>
    <w:qFormat/>
    <w:rsid w:val="001C576E"/>
    <w:pPr>
      <w:spacing w:after="0" w:line="240" w:lineRule="auto"/>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08"/>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08"/>
    <w:pPr>
      <w:tabs>
        <w:tab w:val="center" w:pos="4986"/>
        <w:tab w:val="right" w:pos="9972"/>
      </w:tabs>
      <w:spacing w:after="0" w:line="240" w:lineRule="auto"/>
    </w:pPr>
  </w:style>
  <w:style w:type="character" w:customStyle="1" w:styleId="HeaderChar">
    <w:name w:val="Header Char"/>
    <w:basedOn w:val="DefaultParagraphFont"/>
    <w:link w:val="Header"/>
    <w:uiPriority w:val="99"/>
    <w:rsid w:val="006E1608"/>
    <w:rPr>
      <w:lang w:val="lt-LT"/>
    </w:rPr>
  </w:style>
  <w:style w:type="paragraph" w:styleId="ListParagraph">
    <w:name w:val="List Paragraph"/>
    <w:basedOn w:val="Normal"/>
    <w:uiPriority w:val="34"/>
    <w:qFormat/>
    <w:rsid w:val="006E1608"/>
    <w:pPr>
      <w:ind w:left="720"/>
      <w:contextualSpacing/>
    </w:pPr>
  </w:style>
  <w:style w:type="paragraph" w:styleId="BalloonText">
    <w:name w:val="Balloon Text"/>
    <w:basedOn w:val="Normal"/>
    <w:link w:val="BalloonTextChar"/>
    <w:uiPriority w:val="99"/>
    <w:semiHidden/>
    <w:unhideWhenUsed/>
    <w:rsid w:val="006E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08"/>
    <w:rPr>
      <w:rFonts w:ascii="Tahoma" w:hAnsi="Tahoma" w:cs="Tahoma"/>
      <w:sz w:val="16"/>
      <w:szCs w:val="16"/>
      <w:lang w:val="lt-LT"/>
    </w:rPr>
  </w:style>
  <w:style w:type="paragraph" w:styleId="NoSpacing">
    <w:name w:val="No Spacing"/>
    <w:uiPriority w:val="1"/>
    <w:qFormat/>
    <w:rsid w:val="001C576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7DFB-0420-4A6D-B12F-F59E1448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dc:creator>
  <cp:lastModifiedBy>Laima</cp:lastModifiedBy>
  <cp:revision>2</cp:revision>
  <cp:lastPrinted>2015-03-25T08:14:00Z</cp:lastPrinted>
  <dcterms:created xsi:type="dcterms:W3CDTF">2015-04-03T07:11:00Z</dcterms:created>
  <dcterms:modified xsi:type="dcterms:W3CDTF">2015-04-03T07:11:00Z</dcterms:modified>
</cp:coreProperties>
</file>