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F6" w:rsidRDefault="00AA00F6" w:rsidP="00AA00F6">
      <w:pPr>
        <w:rPr>
          <w:b/>
        </w:rPr>
      </w:pPr>
      <w:r>
        <w:rPr>
          <w:noProof/>
          <w:lang w:eastAsia="lt-LT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2625090</wp:posOffset>
            </wp:positionH>
            <wp:positionV relativeFrom="paragraph">
              <wp:posOffset>-228600</wp:posOffset>
            </wp:positionV>
            <wp:extent cx="867410" cy="508635"/>
            <wp:effectExtent l="1905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0F6" w:rsidRPr="00AA00F6" w:rsidRDefault="00AA00F6" w:rsidP="00AA00F6">
      <w:pPr>
        <w:jc w:val="center"/>
        <w:rPr>
          <w:b/>
          <w:sz w:val="28"/>
        </w:rPr>
      </w:pPr>
      <w:r>
        <w:rPr>
          <w:b/>
          <w:sz w:val="28"/>
        </w:rPr>
        <w:t>UŽDAROJI AKCINĖ BENDROVĖ „</w:t>
      </w:r>
      <w:r>
        <w:rPr>
          <w:b/>
          <w:sz w:val="28"/>
          <w:lang w:val="de-DE"/>
        </w:rPr>
        <w:t>MEDICINOS PROJEKTAI</w:t>
      </w:r>
      <w:r>
        <w:rPr>
          <w:b/>
          <w:sz w:val="28"/>
        </w:rPr>
        <w:t>“</w:t>
      </w:r>
    </w:p>
    <w:p w:rsidR="00AA00F6" w:rsidRDefault="00834DF2" w:rsidP="00AA00F6">
      <w:pPr>
        <w:jc w:val="center"/>
        <w:rPr>
          <w:sz w:val="20"/>
          <w:szCs w:val="16"/>
        </w:rPr>
      </w:pPr>
      <w:r w:rsidRPr="00834DF2">
        <w:rPr>
          <w:noProof/>
          <w:lang w:val="en-GB" w:eastAsia="lt-LT"/>
        </w:rPr>
        <w:pict>
          <v:line id="_x0000_s1026" style="position:absolute;left:0;text-align:left;z-index:251658240" from="-3.25pt,27.6pt" to="482.3pt,27.6pt" strokeweight="1.5pt"/>
        </w:pict>
      </w:r>
      <w:r w:rsidR="00AA00F6">
        <w:rPr>
          <w:sz w:val="20"/>
          <w:szCs w:val="16"/>
        </w:rPr>
        <w:t xml:space="preserve">Įregistruota Lietuvos Respublikos juridinių asmenų registre, kodas 125224854, PVM mokėtojo kodas LT252248515 </w:t>
      </w:r>
      <w:r w:rsidR="00AA00F6">
        <w:rPr>
          <w:sz w:val="20"/>
          <w:szCs w:val="16"/>
          <w:lang w:val="de-DE"/>
        </w:rPr>
        <w:t>I.Kanto al. 15</w:t>
      </w:r>
      <w:r w:rsidR="00AA00F6">
        <w:rPr>
          <w:sz w:val="20"/>
          <w:szCs w:val="16"/>
        </w:rPr>
        <w:t xml:space="preserve">, LT-06214 Vilnius, tel. (8  5) 233  82  58, faks., (8  5) 213  55  58, el. p. </w:t>
      </w:r>
      <w:hyperlink r:id="rId6" w:history="1">
        <w:r w:rsidR="00AA00F6">
          <w:rPr>
            <w:sz w:val="20"/>
            <w:szCs w:val="16"/>
          </w:rPr>
          <w:t>adm</w:t>
        </w:r>
        <w:r w:rsidR="00AA00F6">
          <w:rPr>
            <w:rStyle w:val="Hyperlink"/>
            <w:sz w:val="20"/>
            <w:szCs w:val="16"/>
          </w:rPr>
          <w:t>@medpro.lt</w:t>
        </w:r>
      </w:hyperlink>
      <w:r w:rsidR="00AA00F6">
        <w:rPr>
          <w:sz w:val="20"/>
          <w:szCs w:val="16"/>
        </w:rPr>
        <w:t>, www.medpro.lt</w:t>
      </w:r>
    </w:p>
    <w:p w:rsidR="00AA00F6" w:rsidRPr="00755559" w:rsidRDefault="00AA00F6" w:rsidP="00AA00F6">
      <w:pPr>
        <w:jc w:val="both"/>
        <w:rPr>
          <w:b/>
        </w:rPr>
      </w:pPr>
      <w:r>
        <w:rPr>
          <w:b/>
        </w:rPr>
        <w:t>LSMUL Kauno klinikos</w:t>
      </w:r>
    </w:p>
    <w:p w:rsidR="00AA00F6" w:rsidRDefault="00AA00F6" w:rsidP="00AA00F6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AA00F6" w:rsidRPr="00B434BC" w:rsidRDefault="00AA00F6" w:rsidP="00AA00F6">
      <w:pPr>
        <w:spacing w:after="0" w:line="240" w:lineRule="auto"/>
        <w:jc w:val="center"/>
        <w:rPr>
          <w:b/>
          <w:sz w:val="16"/>
          <w:szCs w:val="24"/>
        </w:rPr>
      </w:pPr>
    </w:p>
    <w:p w:rsidR="00AA00F6" w:rsidRPr="00B434BC" w:rsidRDefault="00AA00F6" w:rsidP="00AA00F6">
      <w:pPr>
        <w:spacing w:after="0" w:line="240" w:lineRule="auto"/>
        <w:jc w:val="center"/>
        <w:rPr>
          <w:b/>
          <w:szCs w:val="24"/>
        </w:rPr>
      </w:pPr>
      <w:r w:rsidRPr="00B434BC">
        <w:rPr>
          <w:b/>
          <w:szCs w:val="24"/>
        </w:rPr>
        <w:t>PASIŪLYMAS</w:t>
      </w:r>
    </w:p>
    <w:p w:rsidR="00AA00F6" w:rsidRPr="00B434BC" w:rsidRDefault="00AA00F6" w:rsidP="00AA00F6">
      <w:pPr>
        <w:pStyle w:val="Heading2"/>
        <w:numPr>
          <w:ilvl w:val="0"/>
          <w:numId w:val="0"/>
        </w:numPr>
        <w:ind w:left="180"/>
        <w:jc w:val="center"/>
        <w:rPr>
          <w:b/>
          <w:sz w:val="14"/>
          <w:szCs w:val="14"/>
        </w:rPr>
      </w:pPr>
      <w:r w:rsidRPr="00B434BC">
        <w:rPr>
          <w:b/>
          <w:bCs/>
        </w:rPr>
        <w:t>DĖL</w:t>
      </w:r>
      <w:r>
        <w:rPr>
          <w:b/>
          <w:bCs/>
        </w:rPr>
        <w:t xml:space="preserve"> LIGONIŲ ŠILDYMO SISTEMOS </w:t>
      </w:r>
      <w:r w:rsidRPr="00B434BC">
        <w:rPr>
          <w:b/>
          <w:bCs/>
        </w:rPr>
        <w:t>PIRKIMO</w:t>
      </w:r>
    </w:p>
    <w:p w:rsidR="00AA00F6" w:rsidRPr="00B434BC" w:rsidRDefault="00AA00F6" w:rsidP="00AA00F6">
      <w:pPr>
        <w:pStyle w:val="pavadinimai"/>
        <w:spacing w:before="0" w:after="0"/>
        <w:rPr>
          <w:b w:val="0"/>
        </w:rPr>
      </w:pPr>
    </w:p>
    <w:p w:rsidR="00AA00F6" w:rsidRPr="00AA00F6" w:rsidRDefault="00AA00F6" w:rsidP="00AA00F6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t>2014-12-15</w:t>
      </w:r>
      <w:r w:rsidRPr="00B434BC">
        <w:rPr>
          <w:b/>
          <w:bCs/>
        </w:rPr>
        <w:t xml:space="preserve"> </w:t>
      </w:r>
      <w:r>
        <w:t>Nr.  14/305</w:t>
      </w:r>
    </w:p>
    <w:p w:rsidR="00AA00F6" w:rsidRPr="00B434BC" w:rsidRDefault="00AA00F6" w:rsidP="00AA00F6">
      <w:pPr>
        <w:shd w:val="clear" w:color="auto" w:fill="FFFFFF"/>
        <w:spacing w:after="0" w:line="240" w:lineRule="auto"/>
        <w:jc w:val="center"/>
        <w:rPr>
          <w:bCs/>
        </w:rPr>
      </w:pPr>
      <w:r>
        <w:rPr>
          <w:bCs/>
        </w:rPr>
        <w:t>Vilnius</w:t>
      </w:r>
    </w:p>
    <w:p w:rsidR="00AA00F6" w:rsidRPr="00B434BC" w:rsidRDefault="00AA00F6" w:rsidP="00AA00F6">
      <w:pPr>
        <w:shd w:val="clear" w:color="auto" w:fill="FFFFFF"/>
        <w:spacing w:after="0" w:line="240" w:lineRule="auto"/>
        <w:jc w:val="center"/>
        <w:rPr>
          <w:bCs/>
        </w:rPr>
      </w:pPr>
    </w:p>
    <w:p w:rsidR="00AA00F6" w:rsidRPr="00B434BC" w:rsidRDefault="00AA00F6" w:rsidP="00AA00F6">
      <w:pPr>
        <w:spacing w:after="0" w:line="240" w:lineRule="auto"/>
        <w:jc w:val="center"/>
        <w:rPr>
          <w:sz w:val="16"/>
          <w:szCs w:val="24"/>
        </w:rPr>
      </w:pPr>
    </w:p>
    <w:p w:rsidR="00AA00F6" w:rsidRPr="00B434BC" w:rsidRDefault="00AA00F6" w:rsidP="00AA00F6">
      <w:pPr>
        <w:shd w:val="clear" w:color="auto" w:fill="FFFFFF"/>
        <w:spacing w:after="0" w:line="240" w:lineRule="auto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</w:t>
      </w:r>
      <w:r w:rsidRPr="00B434BC">
        <w:rPr>
          <w:b/>
          <w:bCs/>
        </w:rPr>
        <w:t xml:space="preserve">TIEKĖJO REKVIZITAI </w:t>
      </w:r>
    </w:p>
    <w:p w:rsidR="00AA00F6" w:rsidRPr="00B434BC" w:rsidRDefault="00AA00F6" w:rsidP="00AA00F6">
      <w:pPr>
        <w:spacing w:after="0" w:line="240" w:lineRule="auto"/>
        <w:jc w:val="center"/>
        <w:rPr>
          <w:sz w:val="16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4819"/>
      </w:tblGrid>
      <w:tr w:rsidR="00AA00F6" w:rsidRPr="00B434BC" w:rsidTr="00AA00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B434BC" w:rsidRDefault="00AA00F6" w:rsidP="00AA00F6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B434BC">
              <w:rPr>
                <w:szCs w:val="24"/>
              </w:rPr>
              <w:t xml:space="preserve">Tiekėjo pavadinimas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AA00F6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UAB „Medicinos projektai“</w:t>
            </w:r>
          </w:p>
        </w:tc>
      </w:tr>
      <w:tr w:rsidR="00AA00F6" w:rsidRPr="00B434BC" w:rsidTr="00AA00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B434BC" w:rsidRDefault="00AA00F6" w:rsidP="00AA00F6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Tiekėjo adresas</w:t>
            </w:r>
            <w:r w:rsidRPr="00B434BC">
              <w:rPr>
                <w:i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AA00F6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I.Kanto alėja 15, LT-06214 Vilnius</w:t>
            </w:r>
          </w:p>
        </w:tc>
      </w:tr>
      <w:tr w:rsidR="00AA00F6" w:rsidRPr="00B434BC" w:rsidTr="00AA00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B434BC" w:rsidRDefault="00AA00F6" w:rsidP="00AA00F6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Įmonės kodas, PVM mokėtojo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AA00F6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125224854, LT252248515</w:t>
            </w:r>
          </w:p>
        </w:tc>
      </w:tr>
      <w:tr w:rsidR="00AA00F6" w:rsidRPr="00B434BC" w:rsidTr="00AA00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B434BC" w:rsidRDefault="00AA00F6" w:rsidP="00AA00F6">
            <w:pPr>
              <w:spacing w:after="0" w:line="240" w:lineRule="auto"/>
              <w:rPr>
                <w:szCs w:val="24"/>
              </w:rPr>
            </w:pPr>
            <w:r w:rsidRPr="00B434BC">
              <w:rPr>
                <w:szCs w:val="24"/>
              </w:rPr>
              <w:t>Atsiskaitomosios sąskaitos numeris, bankas, banko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AA00F6">
            <w:pPr>
              <w:spacing w:after="0" w:line="240" w:lineRule="auto"/>
              <w:rPr>
                <w:szCs w:val="24"/>
              </w:rPr>
            </w:pPr>
            <w:r w:rsidRPr="00AA00F6">
              <w:rPr>
                <w:szCs w:val="24"/>
              </w:rPr>
              <w:t xml:space="preserve">A. s. LT58 7044 0600 0499 9501 , Bankas AB SEB b.k. 70440                 </w:t>
            </w:r>
          </w:p>
        </w:tc>
      </w:tr>
      <w:tr w:rsidR="00AA00F6" w:rsidRPr="00B434BC" w:rsidTr="00AA00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B434BC" w:rsidRDefault="00AA00F6" w:rsidP="00AA00F6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Įmonės vadovo pareigos, vardas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AA00F6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Direktorius Arūnas Daraganas</w:t>
            </w:r>
          </w:p>
        </w:tc>
      </w:tr>
      <w:tr w:rsidR="00AA00F6" w:rsidRPr="00B434BC" w:rsidTr="00AA00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B434BC" w:rsidRDefault="00AA00F6" w:rsidP="00AA00F6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Už pasiūlymą atsakingo asmens vardas,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AA00F6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Administratorė Edita Štuopienė</w:t>
            </w:r>
          </w:p>
        </w:tc>
      </w:tr>
      <w:tr w:rsidR="00AA00F6" w:rsidRPr="00B434BC" w:rsidTr="00AA00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B434BC" w:rsidRDefault="00AA00F6" w:rsidP="00AA00F6">
            <w:pPr>
              <w:spacing w:after="0" w:line="240" w:lineRule="auto"/>
              <w:rPr>
                <w:szCs w:val="24"/>
              </w:rPr>
            </w:pPr>
            <w:r w:rsidRPr="00B434BC">
              <w:rPr>
                <w:szCs w:val="24"/>
              </w:rPr>
              <w:t>Už sutarties vykdymą atsakingo asmens pareigos, vardas,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AA00F6">
            <w:pPr>
              <w:spacing w:after="0" w:line="240" w:lineRule="auto"/>
              <w:rPr>
                <w:szCs w:val="24"/>
              </w:rPr>
            </w:pPr>
            <w:r w:rsidRPr="00AA00F6">
              <w:rPr>
                <w:szCs w:val="24"/>
              </w:rPr>
              <w:t>Pardavimų padalinio vadovas Saulius Lapinskas</w:t>
            </w:r>
          </w:p>
        </w:tc>
      </w:tr>
      <w:tr w:rsidR="00AA00F6" w:rsidRPr="00B434BC" w:rsidTr="00AA00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B434BC" w:rsidRDefault="00AA00F6" w:rsidP="00AA00F6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Telefono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AA00F6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8 5 2338258</w:t>
            </w:r>
          </w:p>
        </w:tc>
      </w:tr>
      <w:tr w:rsidR="00AA00F6" w:rsidRPr="00B434BC" w:rsidTr="00AA00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B434BC" w:rsidRDefault="00AA00F6" w:rsidP="00AA00F6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Fakso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AA00F6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8 5 2135558</w:t>
            </w:r>
          </w:p>
        </w:tc>
      </w:tr>
      <w:tr w:rsidR="00AA00F6" w:rsidRPr="00B434BC" w:rsidTr="00AA00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B434BC" w:rsidRDefault="00AA00F6" w:rsidP="00AA00F6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El. pašto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AA00F6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info@medpro.lt</w:t>
            </w:r>
          </w:p>
        </w:tc>
      </w:tr>
    </w:tbl>
    <w:p w:rsidR="00AA00F6" w:rsidRPr="00B434BC" w:rsidRDefault="00AA00F6" w:rsidP="00AA00F6">
      <w:pPr>
        <w:spacing w:after="0" w:line="240" w:lineRule="auto"/>
        <w:jc w:val="both"/>
        <w:rPr>
          <w:sz w:val="16"/>
          <w:szCs w:val="24"/>
        </w:rPr>
      </w:pPr>
    </w:p>
    <w:p w:rsidR="00AA00F6" w:rsidRPr="00B434BC" w:rsidRDefault="00AA00F6" w:rsidP="00AA00F6">
      <w:pPr>
        <w:spacing w:after="0" w:line="240" w:lineRule="auto"/>
        <w:jc w:val="both"/>
        <w:rPr>
          <w:sz w:val="16"/>
          <w:szCs w:val="24"/>
        </w:rPr>
      </w:pPr>
      <w:r w:rsidRPr="00B434BC">
        <w:rPr>
          <w:sz w:val="16"/>
          <w:szCs w:val="24"/>
        </w:rPr>
        <w:tab/>
      </w:r>
      <w:r w:rsidRPr="00B434BC">
        <w:rPr>
          <w:sz w:val="16"/>
          <w:szCs w:val="24"/>
        </w:rPr>
        <w:tab/>
      </w:r>
      <w:r w:rsidRPr="00B434BC">
        <w:rPr>
          <w:sz w:val="16"/>
          <w:szCs w:val="24"/>
        </w:rPr>
        <w:tab/>
      </w:r>
      <w:r w:rsidRPr="00B434BC">
        <w:rPr>
          <w:sz w:val="16"/>
          <w:szCs w:val="24"/>
        </w:rPr>
        <w:tab/>
      </w:r>
      <w:r w:rsidRPr="00B434BC">
        <w:rPr>
          <w:sz w:val="16"/>
          <w:szCs w:val="24"/>
        </w:rPr>
        <w:tab/>
      </w:r>
    </w:p>
    <w:p w:rsidR="00AA00F6" w:rsidRPr="00B434BC" w:rsidRDefault="00AA00F6" w:rsidP="00AA00F6">
      <w:pPr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hanging="731"/>
        <w:jc w:val="both"/>
        <w:rPr>
          <w:szCs w:val="24"/>
        </w:rPr>
      </w:pPr>
      <w:r w:rsidRPr="00B434BC">
        <w:rPr>
          <w:szCs w:val="24"/>
        </w:rPr>
        <w:t>Šiuo pasiūlymu pažymime, kad sutinkame su visomis pirkimo sąlygomis, nustatytomis:</w:t>
      </w:r>
    </w:p>
    <w:p w:rsidR="00AA00F6" w:rsidRPr="00B434BC" w:rsidRDefault="00AA00F6" w:rsidP="00AA00F6">
      <w:pPr>
        <w:spacing w:after="0" w:line="240" w:lineRule="auto"/>
        <w:ind w:left="-142" w:firstLine="851"/>
        <w:jc w:val="both"/>
        <w:rPr>
          <w:iCs/>
          <w:szCs w:val="24"/>
        </w:rPr>
      </w:pPr>
      <w:r w:rsidRPr="00B434BC">
        <w:rPr>
          <w:szCs w:val="24"/>
        </w:rPr>
        <w:t>1) atviro konkurso skelbime, paskelbtame Europos Sąjungos oficialiajame leidinyje</w:t>
      </w:r>
      <w:r w:rsidRPr="00B434BC">
        <w:rPr>
          <w:iCs/>
          <w:szCs w:val="24"/>
        </w:rPr>
        <w:t xml:space="preserve"> bei Centrinėje viešųjų pirkimų informacinėje sistemoje.</w:t>
      </w:r>
    </w:p>
    <w:p w:rsidR="00AA00F6" w:rsidRPr="00B434BC" w:rsidRDefault="00AA00F6" w:rsidP="00AA00F6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B434BC">
        <w:rPr>
          <w:szCs w:val="24"/>
        </w:rPr>
        <w:t>kituose pirkimo dokumentuose (jų paaiškinimuose, papildymuose).</w:t>
      </w:r>
    </w:p>
    <w:p w:rsidR="00AA00F6" w:rsidRPr="00B434BC" w:rsidRDefault="00AA00F6" w:rsidP="00AA00F6">
      <w:pPr>
        <w:spacing w:after="0" w:line="240" w:lineRule="auto"/>
        <w:ind w:firstLine="720"/>
        <w:jc w:val="both"/>
        <w:rPr>
          <w:szCs w:val="24"/>
        </w:rPr>
      </w:pPr>
      <w:r w:rsidRPr="00B434BC">
        <w:t xml:space="preserve">2. </w:t>
      </w:r>
      <w:r w:rsidRPr="00B434BC">
        <w:rPr>
          <w:spacing w:val="-4"/>
          <w:szCs w:val="24"/>
        </w:rPr>
        <w:t>Pasirašydamas CVP IS priemonėmis pateiktą pasiūlymą saugiu elektroniniu parašu, patvirtinu, kad dokumentų skaitmeninės</w:t>
      </w:r>
      <w:r w:rsidRPr="00B434BC">
        <w:rPr>
          <w:szCs w:val="24"/>
        </w:rPr>
        <w:t xml:space="preserve"> kopijos ir elektroninėmis priemonėmis pateikti duomenys yra tikri. </w:t>
      </w: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Pr="00B434BC" w:rsidRDefault="00AA00F6" w:rsidP="00AA00F6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AA00F6" w:rsidRPr="00DD1920" w:rsidRDefault="00AA00F6" w:rsidP="00AA00F6">
      <w:pPr>
        <w:spacing w:after="0" w:line="240" w:lineRule="auto"/>
        <w:ind w:firstLine="720"/>
        <w:jc w:val="both"/>
        <w:rPr>
          <w:sz w:val="22"/>
        </w:rPr>
      </w:pPr>
      <w:r w:rsidRPr="00B434BC">
        <w:rPr>
          <w:sz w:val="22"/>
        </w:rPr>
        <w:tab/>
      </w:r>
      <w:r w:rsidRPr="00B434BC">
        <w:rPr>
          <w:sz w:val="22"/>
        </w:rPr>
        <w:tab/>
      </w:r>
      <w:r w:rsidRPr="00B434BC">
        <w:rPr>
          <w:sz w:val="22"/>
        </w:rPr>
        <w:tab/>
      </w:r>
      <w:r w:rsidRPr="00B434BC">
        <w:rPr>
          <w:sz w:val="22"/>
        </w:rPr>
        <w:tab/>
      </w:r>
      <w:r w:rsidRPr="00B434BC">
        <w:rPr>
          <w:sz w:val="22"/>
        </w:rPr>
        <w:tab/>
      </w:r>
      <w:r w:rsidRPr="00B434BC">
        <w:rPr>
          <w:sz w:val="22"/>
        </w:rPr>
        <w:tab/>
      </w:r>
    </w:p>
    <w:p w:rsidR="00AA00F6" w:rsidRDefault="00AA00F6" w:rsidP="00AA00F6">
      <w:pPr>
        <w:spacing w:after="0" w:line="240" w:lineRule="auto"/>
        <w:ind w:firstLine="720"/>
        <w:jc w:val="center"/>
        <w:rPr>
          <w:b/>
          <w:sz w:val="22"/>
        </w:rPr>
      </w:pPr>
      <w:r w:rsidRPr="00DD1920">
        <w:rPr>
          <w:b/>
          <w:sz w:val="22"/>
        </w:rPr>
        <w:lastRenderedPageBreak/>
        <w:t>PASIŪLYMO KAINA</w:t>
      </w:r>
    </w:p>
    <w:p w:rsidR="00222DDF" w:rsidRPr="00DD1920" w:rsidRDefault="00222DDF" w:rsidP="00AA00F6">
      <w:pPr>
        <w:spacing w:after="0" w:line="240" w:lineRule="auto"/>
        <w:ind w:firstLine="720"/>
        <w:jc w:val="center"/>
        <w:rPr>
          <w:b/>
          <w:sz w:val="22"/>
        </w:rPr>
      </w:pPr>
    </w:p>
    <w:tbl>
      <w:tblPr>
        <w:tblW w:w="100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4"/>
        <w:gridCol w:w="1440"/>
        <w:gridCol w:w="660"/>
        <w:gridCol w:w="567"/>
        <w:gridCol w:w="1563"/>
        <w:gridCol w:w="1260"/>
        <w:gridCol w:w="1260"/>
        <w:gridCol w:w="1260"/>
      </w:tblGrid>
      <w:tr w:rsidR="00AA00F6" w:rsidRPr="00DD1920" w:rsidTr="001228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Eil. Nr.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2883">
              <w:rPr>
                <w:iCs/>
                <w:spacing w:val="-4"/>
                <w:sz w:val="20"/>
                <w:szCs w:val="20"/>
              </w:rPr>
              <w:t>Prekių</w:t>
            </w:r>
            <w:r w:rsidRPr="00122883">
              <w:rPr>
                <w:sz w:val="20"/>
                <w:szCs w:val="20"/>
              </w:rPr>
              <w:t xml:space="preserve"> pavadinimas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Prekių modelis, tipas, kataloginis numeris, gamintojo pavadinimas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 xml:space="preserve">Kiekis </w:t>
            </w:r>
          </w:p>
          <w:p w:rsidR="00AA00F6" w:rsidRPr="00122883" w:rsidRDefault="00AA00F6" w:rsidP="00B21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0F3D86">
            <w:pPr>
              <w:spacing w:after="0" w:line="240" w:lineRule="auto"/>
              <w:ind w:right="-249" w:hanging="108"/>
              <w:jc w:val="center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Mato</w:t>
            </w:r>
          </w:p>
          <w:p w:rsidR="00AA00F6" w:rsidRPr="00122883" w:rsidRDefault="00AA00F6" w:rsidP="000F3D86">
            <w:pPr>
              <w:spacing w:after="0" w:line="240" w:lineRule="auto"/>
              <w:ind w:right="-249" w:hanging="108"/>
              <w:jc w:val="center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tabs>
                <w:tab w:val="left" w:pos="2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Vieneto kaina,</w:t>
            </w:r>
          </w:p>
          <w:p w:rsidR="00AA00F6" w:rsidRPr="00122883" w:rsidRDefault="00AA00F6" w:rsidP="00B21C23">
            <w:pPr>
              <w:tabs>
                <w:tab w:val="left" w:pos="2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 xml:space="preserve">Lt nei EUR </w:t>
            </w:r>
          </w:p>
          <w:p w:rsidR="00AA00F6" w:rsidRPr="00122883" w:rsidRDefault="00AA00F6" w:rsidP="00B21C23">
            <w:pPr>
              <w:tabs>
                <w:tab w:val="left" w:pos="2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 xml:space="preserve"> (be PVM)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tabs>
                <w:tab w:val="left" w:pos="2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Vieneto kaina,</w:t>
            </w:r>
          </w:p>
          <w:p w:rsidR="00AA00F6" w:rsidRPr="00122883" w:rsidRDefault="00AA00F6" w:rsidP="00B21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 xml:space="preserve">Lt bei EUR </w:t>
            </w:r>
          </w:p>
          <w:p w:rsidR="00AA00F6" w:rsidRPr="00122883" w:rsidRDefault="00AA00F6" w:rsidP="00B21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(su PVM)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Kaina Lt bei EUR be PVM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Kaina Lt bei EUR su PVM</w:t>
            </w:r>
          </w:p>
        </w:tc>
      </w:tr>
      <w:tr w:rsidR="00AA00F6" w:rsidRPr="00DD1920" w:rsidTr="001228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2288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2288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2288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22883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2288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22883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22883">
              <w:rPr>
                <w:i/>
                <w:sz w:val="20"/>
                <w:szCs w:val="20"/>
              </w:rPr>
              <w:t xml:space="preserve">7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22883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122883" w:rsidRDefault="00AA00F6" w:rsidP="00B21C2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22883">
              <w:rPr>
                <w:i/>
                <w:sz w:val="20"/>
                <w:szCs w:val="20"/>
              </w:rPr>
              <w:t>9</w:t>
            </w:r>
          </w:p>
        </w:tc>
      </w:tr>
      <w:tr w:rsidR="000F3D86" w:rsidRPr="00DD1920" w:rsidTr="001228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6" w:rsidRPr="00122883" w:rsidRDefault="000F3D86" w:rsidP="00B21C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6" w:rsidRPr="00122883" w:rsidRDefault="000F3D86" w:rsidP="00B21C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Ligonių šildymo sistema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6" w:rsidRPr="00122883" w:rsidRDefault="000F3D86" w:rsidP="00B21C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Alpha, gamintojas: Inditherm, Jungtinė Karalystė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6" w:rsidRPr="00122883" w:rsidRDefault="000F3D86" w:rsidP="00B21C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6" w:rsidRPr="00122883" w:rsidRDefault="000F3D86" w:rsidP="00B21C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6" w:rsidRPr="00122883" w:rsidRDefault="000F3D86" w:rsidP="00B21C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11.739,52 Lt</w:t>
            </w:r>
          </w:p>
          <w:p w:rsidR="000F3D86" w:rsidRPr="00122883" w:rsidRDefault="000F3D86" w:rsidP="00B21C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3.400,00 Eur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6" w:rsidRPr="00122883" w:rsidRDefault="000F3D86" w:rsidP="00B21C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14.204,82 Lt</w:t>
            </w:r>
          </w:p>
          <w:p w:rsidR="000F3D86" w:rsidRPr="00122883" w:rsidRDefault="000F3D86" w:rsidP="00B21C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4.114,00 Eur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6" w:rsidRPr="00122883" w:rsidRDefault="000F3D86" w:rsidP="004976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11.739,52 Lt</w:t>
            </w:r>
          </w:p>
          <w:p w:rsidR="000F3D86" w:rsidRPr="00122883" w:rsidRDefault="000F3D86" w:rsidP="004976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3.400,00 Eur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6" w:rsidRPr="00122883" w:rsidRDefault="000F3D86" w:rsidP="004976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14.204,82 Lt</w:t>
            </w:r>
          </w:p>
          <w:p w:rsidR="000F3D86" w:rsidRPr="00122883" w:rsidRDefault="000F3D86" w:rsidP="004976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4.114,00 Eur</w:t>
            </w:r>
          </w:p>
        </w:tc>
      </w:tr>
      <w:tr w:rsidR="000F3D86" w:rsidRPr="00DD1920" w:rsidTr="001228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6" w:rsidRPr="00122883" w:rsidRDefault="000F3D86" w:rsidP="00B21C2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3D86" w:rsidRPr="00122883" w:rsidRDefault="000F3D86" w:rsidP="00B21C2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3D86" w:rsidRPr="00122883" w:rsidRDefault="000F3D86" w:rsidP="00B21C2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3D86" w:rsidRPr="00122883" w:rsidRDefault="000F3D86" w:rsidP="00B21C2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D86" w:rsidRPr="00122883" w:rsidRDefault="000F3D86" w:rsidP="00B21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IŠ VISO (bendra pasiūlymo kaina)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6" w:rsidRPr="00122883" w:rsidRDefault="000F3D86" w:rsidP="004976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11.739,52 Lt</w:t>
            </w:r>
          </w:p>
          <w:p w:rsidR="000F3D86" w:rsidRPr="00122883" w:rsidRDefault="000F3D86" w:rsidP="004976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3.400,00 Eur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86" w:rsidRPr="00122883" w:rsidRDefault="000F3D86" w:rsidP="004976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14.204,82 Lt</w:t>
            </w:r>
          </w:p>
          <w:p w:rsidR="000F3D86" w:rsidRPr="00122883" w:rsidRDefault="000F3D86" w:rsidP="004976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2883">
              <w:rPr>
                <w:sz w:val="20"/>
                <w:szCs w:val="20"/>
              </w:rPr>
              <w:t>4.114,00 Eur</w:t>
            </w:r>
          </w:p>
        </w:tc>
      </w:tr>
    </w:tbl>
    <w:p w:rsidR="00AA00F6" w:rsidRPr="00634A65" w:rsidRDefault="00AA00F6" w:rsidP="00AA00F6">
      <w:pPr>
        <w:spacing w:after="0" w:line="240" w:lineRule="auto"/>
        <w:jc w:val="both"/>
        <w:rPr>
          <w:sz w:val="8"/>
          <w:szCs w:val="8"/>
        </w:rPr>
      </w:pPr>
    </w:p>
    <w:p w:rsidR="00AA00F6" w:rsidRDefault="00AA00F6" w:rsidP="00AA00F6">
      <w:pPr>
        <w:spacing w:after="0" w:line="240" w:lineRule="auto"/>
        <w:jc w:val="both"/>
        <w:rPr>
          <w:sz w:val="14"/>
          <w:szCs w:val="14"/>
        </w:rPr>
      </w:pPr>
      <w:r w:rsidRPr="00DD1920">
        <w:rPr>
          <w:sz w:val="14"/>
          <w:szCs w:val="14"/>
        </w:rPr>
        <w:tab/>
      </w:r>
      <w:r w:rsidRPr="00DD1920">
        <w:rPr>
          <w:sz w:val="14"/>
          <w:szCs w:val="14"/>
        </w:rPr>
        <w:tab/>
      </w:r>
      <w:r w:rsidRPr="00DD1920">
        <w:rPr>
          <w:sz w:val="14"/>
          <w:szCs w:val="14"/>
        </w:rPr>
        <w:tab/>
      </w:r>
      <w:r w:rsidRPr="00DD1920">
        <w:rPr>
          <w:sz w:val="14"/>
          <w:szCs w:val="14"/>
        </w:rPr>
        <w:tab/>
      </w:r>
      <w:r w:rsidRPr="00DD1920">
        <w:rPr>
          <w:sz w:val="14"/>
          <w:szCs w:val="14"/>
        </w:rPr>
        <w:tab/>
      </w:r>
      <w:r w:rsidRPr="00DD1920">
        <w:rPr>
          <w:sz w:val="14"/>
          <w:szCs w:val="14"/>
        </w:rPr>
        <w:tab/>
      </w:r>
    </w:p>
    <w:p w:rsidR="00AA00F6" w:rsidRPr="00DD1920" w:rsidRDefault="00AA00F6" w:rsidP="00AA00F6">
      <w:pPr>
        <w:spacing w:after="0" w:line="240" w:lineRule="auto"/>
        <w:jc w:val="both"/>
        <w:rPr>
          <w:sz w:val="14"/>
          <w:szCs w:val="14"/>
        </w:rPr>
      </w:pPr>
    </w:p>
    <w:p w:rsidR="00AA00F6" w:rsidRPr="00DD1920" w:rsidRDefault="00AA00F6" w:rsidP="00AA00F6">
      <w:pPr>
        <w:pStyle w:val="BodyTextIndent3"/>
        <w:ind w:firstLine="0"/>
        <w:jc w:val="center"/>
        <w:rPr>
          <w:b/>
          <w:sz w:val="22"/>
        </w:rPr>
      </w:pPr>
      <w:r w:rsidRPr="00DD1920">
        <w:rPr>
          <w:b/>
          <w:sz w:val="22"/>
        </w:rPr>
        <w:t>SIŪLOMŲ PREKIŲ CHARAKTERISTIKŲ PALYGINIMAS REIKALAUJAMOMS:</w:t>
      </w:r>
    </w:p>
    <w:p w:rsidR="00B24964" w:rsidRDefault="00B24964" w:rsidP="00B21C23">
      <w:pPr>
        <w:spacing w:after="0" w:line="240" w:lineRule="auto"/>
        <w:rPr>
          <w:b/>
          <w:bCs/>
        </w:rPr>
      </w:pPr>
    </w:p>
    <w:p w:rsidR="00B21C23" w:rsidRPr="001A4F6A" w:rsidRDefault="00B21C23" w:rsidP="00B21C23">
      <w:pPr>
        <w:spacing w:after="0" w:line="240" w:lineRule="auto"/>
        <w:rPr>
          <w:b/>
          <w:bCs/>
        </w:rPr>
      </w:pPr>
      <w:r>
        <w:rPr>
          <w:b/>
          <w:bCs/>
        </w:rPr>
        <w:t>Atitikimas s</w:t>
      </w:r>
      <w:r w:rsidRPr="001A4F6A">
        <w:rPr>
          <w:b/>
          <w:bCs/>
        </w:rPr>
        <w:t>pecialie</w:t>
      </w:r>
      <w:r>
        <w:rPr>
          <w:b/>
          <w:bCs/>
        </w:rPr>
        <w:t>siems</w:t>
      </w:r>
      <w:r w:rsidRPr="001A4F6A">
        <w:rPr>
          <w:b/>
          <w:bCs/>
        </w:rPr>
        <w:t xml:space="preserve"> reikalavima</w:t>
      </w:r>
      <w:r>
        <w:rPr>
          <w:b/>
          <w:bCs/>
        </w:rPr>
        <w:t>ms</w:t>
      </w:r>
      <w:r w:rsidRPr="001A4F6A">
        <w:rPr>
          <w:b/>
          <w:bCs/>
        </w:rPr>
        <w:t xml:space="preserve"> </w:t>
      </w:r>
      <w:r>
        <w:rPr>
          <w:b/>
          <w:bCs/>
        </w:rPr>
        <w:t>ligonių šildymo sistemai (1 vnt.)</w:t>
      </w:r>
    </w:p>
    <w:p w:rsidR="00B21C23" w:rsidRDefault="00B21C23" w:rsidP="00B21C23">
      <w:pPr>
        <w:spacing w:after="0" w:line="240" w:lineRule="auto"/>
        <w:rPr>
          <w:bCs/>
          <w:sz w:val="22"/>
        </w:rPr>
      </w:pPr>
      <w:r w:rsidRPr="00F63AB6">
        <w:rPr>
          <w:bCs/>
          <w:sz w:val="22"/>
        </w:rPr>
        <w:t>Siūloma ligonių šildymo sistema Alpha su čiužiniu OTM1, gamintojas Inditherm, Jungtinė Karalystė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700"/>
        <w:gridCol w:w="3420"/>
        <w:gridCol w:w="3060"/>
      </w:tblGrid>
      <w:tr w:rsidR="00B21C23" w:rsidTr="00B21C23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21C23" w:rsidRDefault="00B21C23" w:rsidP="00B21C23">
            <w:pPr>
              <w:spacing w:before="20" w:after="20"/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B21C23" w:rsidRDefault="00B21C23" w:rsidP="00B21C2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Parametrai (specifikacija)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B21C23" w:rsidRDefault="00B21C23" w:rsidP="00B21C2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Parametro reikšmė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B21C23" w:rsidRDefault="00B21C23" w:rsidP="00B21C2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Atitikimas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Bendri reikalavimai šildymo čiužiniui</w:t>
            </w:r>
          </w:p>
        </w:tc>
        <w:tc>
          <w:tcPr>
            <w:tcW w:w="3420" w:type="dxa"/>
          </w:tcPr>
          <w:p w:rsidR="00B21C23" w:rsidRPr="007A3B40" w:rsidRDefault="00B21C23" w:rsidP="00B21C23">
            <w:pPr>
              <w:pStyle w:val="ListParagraph"/>
              <w:numPr>
                <w:ilvl w:val="0"/>
                <w:numId w:val="4"/>
              </w:numPr>
              <w:ind w:left="311" w:hanging="270"/>
              <w:rPr>
                <w:noProof w:val="0"/>
                <w:sz w:val="20"/>
                <w:szCs w:val="20"/>
              </w:rPr>
            </w:pPr>
            <w:r w:rsidRPr="007A3B40">
              <w:rPr>
                <w:noProof w:val="0"/>
                <w:sz w:val="20"/>
                <w:szCs w:val="20"/>
              </w:rPr>
              <w:t>Šildomas elektra (su integruotu šildymo elementu)</w:t>
            </w:r>
          </w:p>
          <w:p w:rsidR="00B21C23" w:rsidRPr="007A3B40" w:rsidRDefault="00B21C23" w:rsidP="00B21C23">
            <w:pPr>
              <w:pStyle w:val="ListParagraph"/>
              <w:numPr>
                <w:ilvl w:val="0"/>
                <w:numId w:val="4"/>
              </w:numPr>
              <w:ind w:left="311" w:hanging="270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P</w:t>
            </w:r>
            <w:r w:rsidRPr="007A3B40">
              <w:rPr>
                <w:noProof w:val="0"/>
                <w:sz w:val="20"/>
                <w:szCs w:val="20"/>
              </w:rPr>
              <w:t>ritaikytas operacinėms</w:t>
            </w:r>
          </w:p>
          <w:p w:rsidR="00B21C23" w:rsidRPr="007A3B40" w:rsidRDefault="00B21C23" w:rsidP="00B21C23">
            <w:pPr>
              <w:pStyle w:val="ListParagraph"/>
              <w:numPr>
                <w:ilvl w:val="0"/>
                <w:numId w:val="4"/>
              </w:numPr>
              <w:ind w:left="311" w:hanging="270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N</w:t>
            </w:r>
            <w:r w:rsidRPr="007A3B40">
              <w:rPr>
                <w:noProof w:val="0"/>
                <w:sz w:val="20"/>
                <w:szCs w:val="20"/>
              </w:rPr>
              <w:t>eperšlampantis</w:t>
            </w:r>
          </w:p>
          <w:p w:rsidR="00B21C23" w:rsidRPr="007A3B40" w:rsidRDefault="00B21C23" w:rsidP="00B21C23">
            <w:pPr>
              <w:pStyle w:val="ListParagraph"/>
              <w:numPr>
                <w:ilvl w:val="0"/>
                <w:numId w:val="4"/>
              </w:numPr>
              <w:ind w:left="311" w:hanging="270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L</w:t>
            </w:r>
            <w:r w:rsidRPr="007A3B40">
              <w:rPr>
                <w:noProof w:val="0"/>
                <w:sz w:val="20"/>
                <w:szCs w:val="20"/>
              </w:rPr>
              <w:t>ankstus</w:t>
            </w:r>
          </w:p>
          <w:p w:rsidR="00B21C23" w:rsidRPr="007A3B40" w:rsidRDefault="00B21C23" w:rsidP="00B21C23">
            <w:pPr>
              <w:pStyle w:val="ListParagraph"/>
              <w:numPr>
                <w:ilvl w:val="0"/>
                <w:numId w:val="4"/>
              </w:numPr>
              <w:ind w:left="311" w:hanging="270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D</w:t>
            </w:r>
            <w:r w:rsidRPr="007A3B40">
              <w:rPr>
                <w:noProof w:val="0"/>
                <w:sz w:val="20"/>
                <w:szCs w:val="20"/>
              </w:rPr>
              <w:t>ezinfekuojamas</w:t>
            </w:r>
          </w:p>
          <w:p w:rsidR="00B21C23" w:rsidRPr="007A3B40" w:rsidRDefault="00B21C23" w:rsidP="00B21C23">
            <w:pPr>
              <w:pStyle w:val="ListParagraph"/>
              <w:numPr>
                <w:ilvl w:val="0"/>
                <w:numId w:val="4"/>
              </w:numPr>
              <w:ind w:left="311" w:hanging="270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P</w:t>
            </w:r>
            <w:r w:rsidRPr="007A3B40">
              <w:rPr>
                <w:noProof w:val="0"/>
                <w:sz w:val="20"/>
                <w:szCs w:val="20"/>
              </w:rPr>
              <w:t>ralaidus rentgeno spinduliams</w:t>
            </w:r>
          </w:p>
        </w:tc>
        <w:tc>
          <w:tcPr>
            <w:tcW w:w="3060" w:type="dxa"/>
          </w:tcPr>
          <w:p w:rsidR="00B21C23" w:rsidRPr="007A3B40" w:rsidRDefault="00B21C23" w:rsidP="00B21C23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noProof w:val="0"/>
                <w:sz w:val="20"/>
                <w:szCs w:val="20"/>
              </w:rPr>
            </w:pPr>
            <w:r w:rsidRPr="007A3B40">
              <w:rPr>
                <w:noProof w:val="0"/>
                <w:sz w:val="20"/>
                <w:szCs w:val="20"/>
              </w:rPr>
              <w:t>Šildomas elektra (su integruotu šildymo elementu)</w:t>
            </w:r>
          </w:p>
          <w:p w:rsidR="00B21C23" w:rsidRPr="007A3B40" w:rsidRDefault="00B21C23" w:rsidP="00B21C23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P</w:t>
            </w:r>
            <w:r w:rsidRPr="007A3B40">
              <w:rPr>
                <w:noProof w:val="0"/>
                <w:sz w:val="20"/>
                <w:szCs w:val="20"/>
              </w:rPr>
              <w:t>ritaikytas operacinėms</w:t>
            </w:r>
          </w:p>
          <w:p w:rsidR="00B21C23" w:rsidRPr="007A3B40" w:rsidRDefault="00B21C23" w:rsidP="00B21C23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N</w:t>
            </w:r>
            <w:r w:rsidRPr="007A3B40">
              <w:rPr>
                <w:noProof w:val="0"/>
                <w:sz w:val="20"/>
                <w:szCs w:val="20"/>
              </w:rPr>
              <w:t>eperšlampantis</w:t>
            </w:r>
          </w:p>
          <w:p w:rsidR="00B21C23" w:rsidRPr="007A3B40" w:rsidRDefault="00B21C23" w:rsidP="00B21C23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L</w:t>
            </w:r>
            <w:r w:rsidRPr="007A3B40">
              <w:rPr>
                <w:noProof w:val="0"/>
                <w:sz w:val="20"/>
                <w:szCs w:val="20"/>
              </w:rPr>
              <w:t>ankstus</w:t>
            </w:r>
          </w:p>
          <w:p w:rsidR="00B21C23" w:rsidRPr="007A3B40" w:rsidRDefault="00B21C23" w:rsidP="00B21C23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D</w:t>
            </w:r>
            <w:r w:rsidRPr="007A3B40">
              <w:rPr>
                <w:noProof w:val="0"/>
                <w:sz w:val="20"/>
                <w:szCs w:val="20"/>
              </w:rPr>
              <w:t>ezinfekuojamas</w:t>
            </w:r>
          </w:p>
          <w:p w:rsidR="00B21C23" w:rsidRPr="007A3B40" w:rsidRDefault="00B21C23" w:rsidP="00B21C23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noProof w:val="0"/>
                <w:sz w:val="20"/>
                <w:szCs w:val="20"/>
              </w:rPr>
            </w:pPr>
            <w:r w:rsidRPr="007A3B40">
              <w:rPr>
                <w:noProof w:val="0"/>
                <w:sz w:val="20"/>
                <w:szCs w:val="20"/>
              </w:rPr>
              <w:t>Pralaidus rentgeno spinduliams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Čiužinio matmenys</w:t>
            </w:r>
          </w:p>
        </w:tc>
        <w:tc>
          <w:tcPr>
            <w:tcW w:w="342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Ilgis 1900 +/- 100 mm, plotis 550 +/- 50  mm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Ilgis 1900 mm, plotis 585  mm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Čiužinio tvirtinimas</w:t>
            </w:r>
          </w:p>
        </w:tc>
        <w:tc>
          <w:tcPr>
            <w:tcW w:w="3420" w:type="dxa"/>
          </w:tcPr>
          <w:p w:rsidR="00B21C23" w:rsidRDefault="00B21C23" w:rsidP="00B21C23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 tikti standartinės konstrukcijos operaciniams stalams. Tvirtinama už stalo šonuose esančio bėgelio specialių tvirtinimo kilpų pagalba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Tinka standartinės konstrukcijos operaciniams stalams. Tvirtinama už stalo šonuose esančio bėgelio specialių tvirtinimo kilpų pagalba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Valdymo bloko tvirtinimas</w:t>
            </w:r>
          </w:p>
        </w:tc>
        <w:tc>
          <w:tcPr>
            <w:tcW w:w="3420" w:type="dxa"/>
          </w:tcPr>
          <w:p w:rsidR="00B21C23" w:rsidRDefault="00B21C23" w:rsidP="00B21C23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Būtinas įtaisas tvirtinimui prie infuzijų stovo ar kitokios vamzdinės konstrukcijos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Integruotas įtaisas tvirtinimui prie infuzijų stovo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Šildytuvo valdymas</w:t>
            </w:r>
          </w:p>
        </w:tc>
        <w:tc>
          <w:tcPr>
            <w:tcW w:w="3420" w:type="dxa"/>
          </w:tcPr>
          <w:p w:rsidR="00B21C23" w:rsidRDefault="00B21C23" w:rsidP="00B21C23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Mikroprocesorinis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Mikroprocesorinis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700" w:type="dxa"/>
          </w:tcPr>
          <w:p w:rsidR="00B21C23" w:rsidRPr="00091E11" w:rsidRDefault="00B21C23" w:rsidP="00B21C2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Šildymo elementas</w:t>
            </w:r>
          </w:p>
        </w:tc>
        <w:tc>
          <w:tcPr>
            <w:tcW w:w="3420" w:type="dxa"/>
          </w:tcPr>
          <w:p w:rsidR="00B21C23" w:rsidRPr="00091E11" w:rsidRDefault="00B21C23" w:rsidP="00B21C23">
            <w:pPr>
              <w:spacing w:after="0" w:line="240" w:lineRule="auto"/>
              <w:ind w:left="79"/>
              <w:rPr>
                <w:sz w:val="20"/>
              </w:rPr>
            </w:pPr>
            <w:r>
              <w:rPr>
                <w:sz w:val="20"/>
              </w:rPr>
              <w:t>Vienalytis specialus polimeras (arba lygiavertė medžiaga), nepaliekantis pėdsako rentgeno grafinių tyrimų metu (pralaidus rentgeno spinduliams)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Šildymo elementas yra vienalytis rentgeno spinduliams pralaidus polimeras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Temperatūros palaikymo ribos</w:t>
            </w:r>
          </w:p>
        </w:tc>
        <w:tc>
          <w:tcPr>
            <w:tcW w:w="342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 </w:t>
            </w:r>
            <w:r w:rsidRPr="00FC7EEB">
              <w:rPr>
                <w:sz w:val="20"/>
                <w:szCs w:val="20"/>
                <w:u w:val="single"/>
              </w:rPr>
              <w:t>&lt;</w:t>
            </w:r>
            <w:r>
              <w:rPr>
                <w:sz w:val="20"/>
                <w:szCs w:val="20"/>
              </w:rPr>
              <w:t xml:space="preserve"> 37</w:t>
            </w:r>
            <w:r>
              <w:rPr>
                <w:sz w:val="20"/>
                <w:szCs w:val="20"/>
              </w:rPr>
              <w:sym w:font="Symbol" w:char="F0B0"/>
            </w:r>
            <w:r>
              <w:rPr>
                <w:sz w:val="20"/>
                <w:szCs w:val="20"/>
              </w:rPr>
              <w:t>C iki 40-43</w:t>
            </w:r>
            <w:r>
              <w:rPr>
                <w:sz w:val="20"/>
                <w:szCs w:val="20"/>
              </w:rPr>
              <w:sym w:font="Symbol" w:char="F0B0"/>
            </w:r>
            <w:r>
              <w:rPr>
                <w:sz w:val="20"/>
                <w:szCs w:val="20"/>
              </w:rPr>
              <w:t>C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 37</w:t>
            </w:r>
            <w:r>
              <w:rPr>
                <w:sz w:val="20"/>
                <w:szCs w:val="20"/>
              </w:rPr>
              <w:sym w:font="Symbol" w:char="F0B0"/>
            </w:r>
            <w:r>
              <w:rPr>
                <w:sz w:val="20"/>
                <w:szCs w:val="20"/>
              </w:rPr>
              <w:t>C iki 40</w:t>
            </w:r>
            <w:r>
              <w:rPr>
                <w:sz w:val="20"/>
                <w:szCs w:val="20"/>
              </w:rPr>
              <w:sym w:font="Symbol" w:char="F0B0"/>
            </w:r>
            <w:r>
              <w:rPr>
                <w:sz w:val="20"/>
                <w:szCs w:val="20"/>
              </w:rPr>
              <w:t>C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Temperatūros nustatymo paklaida</w:t>
            </w:r>
          </w:p>
        </w:tc>
        <w:tc>
          <w:tcPr>
            <w:tcW w:w="3420" w:type="dxa"/>
          </w:tcPr>
          <w:p w:rsidR="00B21C23" w:rsidRDefault="00B21C23" w:rsidP="00B21C23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 w:rsidRPr="00FC7EEB">
              <w:rPr>
                <w:sz w:val="20"/>
                <w:szCs w:val="20"/>
                <w:u w:val="single"/>
              </w:rPr>
              <w:t>&lt;</w:t>
            </w:r>
            <w:r>
              <w:rPr>
                <w:sz w:val="20"/>
                <w:szCs w:val="20"/>
              </w:rPr>
              <w:t xml:space="preserve"> 1°C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1°C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700" w:type="dxa"/>
          </w:tcPr>
          <w:p w:rsidR="00B21C23" w:rsidRPr="00091E11" w:rsidRDefault="00B21C23" w:rsidP="00B21C23">
            <w:pPr>
              <w:spacing w:after="0" w:line="240" w:lineRule="auto"/>
              <w:rPr>
                <w:sz w:val="20"/>
              </w:rPr>
            </w:pPr>
            <w:r w:rsidRPr="00091E11">
              <w:rPr>
                <w:sz w:val="20"/>
              </w:rPr>
              <w:t>Temperatūros kontrolė čiužinyje</w:t>
            </w:r>
          </w:p>
        </w:tc>
        <w:tc>
          <w:tcPr>
            <w:tcW w:w="3420" w:type="dxa"/>
          </w:tcPr>
          <w:p w:rsidR="00B21C23" w:rsidRPr="00091E11" w:rsidRDefault="00B21C23" w:rsidP="00B21C23">
            <w:pPr>
              <w:spacing w:after="0" w:line="240" w:lineRule="auto"/>
              <w:ind w:left="79"/>
              <w:rPr>
                <w:sz w:val="20"/>
              </w:rPr>
            </w:pPr>
            <w:r w:rsidRPr="00091E11">
              <w:rPr>
                <w:sz w:val="20"/>
              </w:rPr>
              <w:t xml:space="preserve">Integruoti į čiužinį </w:t>
            </w:r>
            <w:r>
              <w:rPr>
                <w:sz w:val="20"/>
              </w:rPr>
              <w:t>temperatūros davikliai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 w:rsidRPr="00091E11">
              <w:rPr>
                <w:sz w:val="20"/>
              </w:rPr>
              <w:t xml:space="preserve">Integruoti į čiužinį </w:t>
            </w:r>
            <w:r>
              <w:rPr>
                <w:sz w:val="20"/>
              </w:rPr>
              <w:t>temperatūros davikliai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Palaikomos čiužinio temperatūros indikavimas</w:t>
            </w:r>
          </w:p>
        </w:tc>
        <w:tc>
          <w:tcPr>
            <w:tcW w:w="3420" w:type="dxa"/>
          </w:tcPr>
          <w:p w:rsidR="00B21C23" w:rsidRPr="0050467E" w:rsidRDefault="00B21C23" w:rsidP="00B21C23">
            <w:pPr>
              <w:spacing w:after="0" w:line="240" w:lineRule="auto"/>
              <w:ind w:left="79"/>
              <w:rPr>
                <w:sz w:val="20"/>
              </w:rPr>
            </w:pPr>
            <w:r w:rsidRPr="0050467E">
              <w:rPr>
                <w:sz w:val="20"/>
              </w:rPr>
              <w:t>Būtinas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Čiužinio temperatūra indikuojama valdymo bloko ekrane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Perspėjimo signalas ir </w:t>
            </w:r>
            <w:r>
              <w:rPr>
                <w:sz w:val="20"/>
                <w:szCs w:val="20"/>
              </w:rPr>
              <w:lastRenderedPageBreak/>
              <w:t>automatinis šildytuvo išjungimas, viršijus maksimalią leistiną temperatūrą</w:t>
            </w:r>
          </w:p>
        </w:tc>
        <w:tc>
          <w:tcPr>
            <w:tcW w:w="3420" w:type="dxa"/>
          </w:tcPr>
          <w:p w:rsidR="00B21C23" w:rsidRPr="0050467E" w:rsidRDefault="00B21C23" w:rsidP="00B21C23">
            <w:pPr>
              <w:spacing w:after="0" w:line="240" w:lineRule="auto"/>
              <w:ind w:left="79"/>
              <w:rPr>
                <w:sz w:val="20"/>
              </w:rPr>
            </w:pPr>
            <w:r>
              <w:rPr>
                <w:sz w:val="20"/>
              </w:rPr>
              <w:lastRenderedPageBreak/>
              <w:t>Būtina</w:t>
            </w:r>
            <w:r w:rsidRPr="0050467E">
              <w:rPr>
                <w:sz w:val="20"/>
              </w:rPr>
              <w:t xml:space="preserve"> 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A</w:t>
            </w:r>
            <w:r w:rsidRPr="0050467E">
              <w:rPr>
                <w:sz w:val="20"/>
              </w:rPr>
              <w:t xml:space="preserve">utomatinis šildymo nutraukimas </w:t>
            </w:r>
            <w:r w:rsidRPr="0050467E">
              <w:rPr>
                <w:sz w:val="20"/>
              </w:rPr>
              <w:lastRenderedPageBreak/>
              <w:t xml:space="preserve">prie </w:t>
            </w:r>
            <w:r w:rsidRPr="00091E11">
              <w:rPr>
                <w:sz w:val="20"/>
              </w:rPr>
              <w:t>43</w:t>
            </w:r>
            <w:r>
              <w:rPr>
                <w:sz w:val="20"/>
                <w:szCs w:val="20"/>
              </w:rPr>
              <w:sym w:font="Symbol" w:char="F0B0"/>
            </w:r>
            <w:r w:rsidRPr="00091E11">
              <w:rPr>
                <w:sz w:val="20"/>
              </w:rPr>
              <w:t>C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270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Nepertraukiamo darbo trukmė</w:t>
            </w:r>
          </w:p>
        </w:tc>
        <w:tc>
          <w:tcPr>
            <w:tcW w:w="3420" w:type="dxa"/>
          </w:tcPr>
          <w:p w:rsidR="00B21C23" w:rsidRPr="0050467E" w:rsidRDefault="00B21C23" w:rsidP="00B21C23">
            <w:pPr>
              <w:spacing w:after="0" w:line="240" w:lineRule="auto"/>
              <w:ind w:left="79"/>
              <w:rPr>
                <w:sz w:val="20"/>
              </w:rPr>
            </w:pPr>
            <w:r w:rsidRPr="0050467E">
              <w:rPr>
                <w:sz w:val="20"/>
              </w:rPr>
              <w:t>Neribojama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Neribojama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70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Aantipragulinės šildymo čiužinio savybės</w:t>
            </w:r>
          </w:p>
        </w:tc>
        <w:tc>
          <w:tcPr>
            <w:tcW w:w="3420" w:type="dxa"/>
          </w:tcPr>
          <w:p w:rsidR="00B21C23" w:rsidRPr="0050467E" w:rsidRDefault="00B21C23" w:rsidP="00B21C23">
            <w:pPr>
              <w:spacing w:after="0" w:line="240" w:lineRule="auto"/>
              <w:ind w:left="79"/>
              <w:rPr>
                <w:sz w:val="20"/>
              </w:rPr>
            </w:pPr>
            <w:r w:rsidRPr="0050467E">
              <w:rPr>
                <w:sz w:val="20"/>
              </w:rPr>
              <w:t xml:space="preserve">Būtina, </w:t>
            </w:r>
            <w:r>
              <w:rPr>
                <w:sz w:val="20"/>
              </w:rPr>
              <w:t>integruotas antipragulinis sluoksnis visame čiužinio plote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Integruotas antipragulinis sluoksnis visame čiužinio plote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Slėgio paskirstymas</w:t>
            </w:r>
          </w:p>
        </w:tc>
        <w:tc>
          <w:tcPr>
            <w:tcW w:w="3420" w:type="dxa"/>
          </w:tcPr>
          <w:p w:rsidR="00B21C23" w:rsidRPr="0050467E" w:rsidRDefault="00B21C23" w:rsidP="00B21C23">
            <w:pPr>
              <w:spacing w:after="0" w:line="240" w:lineRule="auto"/>
              <w:ind w:left="79"/>
              <w:rPr>
                <w:sz w:val="20"/>
              </w:rPr>
            </w:pPr>
            <w:r>
              <w:rPr>
                <w:sz w:val="20"/>
              </w:rPr>
              <w:t>Ne daugiau kaip 350 g/m</w:t>
            </w:r>
            <w:r w:rsidRPr="0046664D">
              <w:rPr>
                <w:sz w:val="20"/>
                <w:vertAlign w:val="superscript"/>
              </w:rPr>
              <w:t>2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g/</w:t>
            </w:r>
            <w:r>
              <w:rPr>
                <w:sz w:val="20"/>
              </w:rPr>
              <w:t xml:space="preserve"> m</w:t>
            </w:r>
            <w:r w:rsidRPr="0046664D">
              <w:rPr>
                <w:sz w:val="20"/>
                <w:vertAlign w:val="superscript"/>
              </w:rPr>
              <w:t>2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Garantijos laikotarpis</w:t>
            </w:r>
          </w:p>
        </w:tc>
        <w:tc>
          <w:tcPr>
            <w:tcW w:w="3420" w:type="dxa"/>
          </w:tcPr>
          <w:p w:rsidR="00B21C23" w:rsidRPr="0050467E" w:rsidRDefault="00B21C23" w:rsidP="00B21C23">
            <w:pPr>
              <w:spacing w:after="0" w:line="240" w:lineRule="auto"/>
              <w:ind w:left="79"/>
              <w:rPr>
                <w:sz w:val="20"/>
              </w:rPr>
            </w:pPr>
            <w:r w:rsidRPr="0050467E">
              <w:rPr>
                <w:sz w:val="20"/>
              </w:rPr>
              <w:t>≥1 metai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metai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70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Įrangos žymėjimas CE ženklu</w:t>
            </w:r>
          </w:p>
        </w:tc>
        <w:tc>
          <w:tcPr>
            <w:tcW w:w="3420" w:type="dxa"/>
          </w:tcPr>
          <w:p w:rsidR="00B21C23" w:rsidRPr="0050467E" w:rsidRDefault="00B21C23" w:rsidP="00B21C23">
            <w:pPr>
              <w:spacing w:after="0" w:line="240" w:lineRule="auto"/>
              <w:ind w:left="79"/>
              <w:rPr>
                <w:sz w:val="20"/>
              </w:rPr>
            </w:pPr>
            <w:r>
              <w:rPr>
                <w:sz w:val="20"/>
              </w:rPr>
              <w:t>Būtinas (kartu su pasiūlymu konkursui privaloma pateikti CE sertifikato arba EB atitikties deklaracijos kopiją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Pateikiama CE sertifikato kopija</w:t>
            </w:r>
          </w:p>
        </w:tc>
      </w:tr>
      <w:tr w:rsidR="00B21C23" w:rsidTr="00B21C23">
        <w:tc>
          <w:tcPr>
            <w:tcW w:w="540" w:type="dxa"/>
          </w:tcPr>
          <w:p w:rsidR="00B21C23" w:rsidRDefault="00B21C23" w:rsidP="00B21C2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</w:tcPr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Kartu su įranga pateikiama dokumentacija</w:t>
            </w:r>
          </w:p>
        </w:tc>
        <w:tc>
          <w:tcPr>
            <w:tcW w:w="3420" w:type="dxa"/>
          </w:tcPr>
          <w:p w:rsidR="00B21C23" w:rsidRDefault="00B21C23" w:rsidP="00B21C23">
            <w:pPr>
              <w:spacing w:after="0" w:line="240" w:lineRule="auto"/>
              <w:ind w:left="79"/>
              <w:rPr>
                <w:sz w:val="20"/>
              </w:rPr>
            </w:pPr>
            <w:r>
              <w:rPr>
                <w:sz w:val="20"/>
              </w:rPr>
              <w:t>1. Naudojimo instrukcija lietuvių ir anglų kalbomis;</w:t>
            </w:r>
          </w:p>
          <w:p w:rsidR="00B21C23" w:rsidRDefault="00B21C23" w:rsidP="00B21C23">
            <w:pPr>
              <w:spacing w:after="0" w:line="240" w:lineRule="auto"/>
              <w:ind w:left="79"/>
              <w:rPr>
                <w:sz w:val="20"/>
              </w:rPr>
            </w:pPr>
            <w:r>
              <w:rPr>
                <w:sz w:val="20"/>
              </w:rPr>
              <w:t>2. Serviso dokumentacija lietuvių arba anglų kalba</w:t>
            </w:r>
          </w:p>
        </w:tc>
        <w:tc>
          <w:tcPr>
            <w:tcW w:w="3060" w:type="dxa"/>
          </w:tcPr>
          <w:p w:rsidR="00B21C23" w:rsidRDefault="00B21C23" w:rsidP="00B21C2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 Naudojimo instrukcija lietuvių ir anglų kalbomis;</w:t>
            </w:r>
          </w:p>
          <w:p w:rsidR="00B21C23" w:rsidRDefault="00B21C23" w:rsidP="00B21C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2. Serviso dokumentacija anglų kalba</w:t>
            </w:r>
          </w:p>
        </w:tc>
      </w:tr>
    </w:tbl>
    <w:p w:rsidR="00B21C23" w:rsidRDefault="00B21C23" w:rsidP="00B21C23"/>
    <w:p w:rsidR="00AA00F6" w:rsidRDefault="00AA00F6" w:rsidP="00AA00F6">
      <w:pPr>
        <w:spacing w:after="0" w:line="240" w:lineRule="auto"/>
        <w:jc w:val="center"/>
        <w:rPr>
          <w:b/>
          <w:sz w:val="22"/>
        </w:rPr>
      </w:pPr>
    </w:p>
    <w:p w:rsidR="00AA00F6" w:rsidRDefault="00AA00F6" w:rsidP="00AA00F6">
      <w:pPr>
        <w:spacing w:after="0" w:line="240" w:lineRule="auto"/>
        <w:jc w:val="center"/>
        <w:rPr>
          <w:b/>
          <w:sz w:val="22"/>
        </w:rPr>
      </w:pPr>
    </w:p>
    <w:p w:rsidR="00AA00F6" w:rsidRDefault="00AA00F6" w:rsidP="00AA00F6">
      <w:pPr>
        <w:spacing w:after="0" w:line="240" w:lineRule="auto"/>
        <w:jc w:val="center"/>
        <w:rPr>
          <w:b/>
          <w:sz w:val="22"/>
        </w:rPr>
      </w:pPr>
      <w:r w:rsidRPr="00DD1920">
        <w:rPr>
          <w:b/>
          <w:sz w:val="22"/>
        </w:rPr>
        <w:t>PATEIKIAMŲ DOKUMENTŲ SĄRAŠAS</w:t>
      </w:r>
    </w:p>
    <w:p w:rsidR="00222DDF" w:rsidRPr="00DD1920" w:rsidRDefault="00222DDF" w:rsidP="00AA00F6">
      <w:pPr>
        <w:spacing w:after="0" w:line="240" w:lineRule="auto"/>
        <w:jc w:val="center"/>
        <w:rPr>
          <w:b/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3398"/>
        <w:gridCol w:w="1985"/>
        <w:gridCol w:w="3827"/>
      </w:tblGrid>
      <w:tr w:rsidR="00AA00F6" w:rsidRPr="00DD1920" w:rsidTr="00AA00F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DD1920" w:rsidRDefault="00AA00F6" w:rsidP="00B21C23">
            <w:pPr>
              <w:spacing w:after="0" w:line="240" w:lineRule="auto"/>
              <w:jc w:val="center"/>
            </w:pPr>
            <w:r w:rsidRPr="00DD1920">
              <w:rPr>
                <w:sz w:val="22"/>
              </w:rPr>
              <w:t>Eil.Nr.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DD1920" w:rsidRDefault="00AA00F6" w:rsidP="00B21C23">
            <w:pPr>
              <w:spacing w:after="0" w:line="240" w:lineRule="auto"/>
              <w:jc w:val="center"/>
            </w:pPr>
            <w:r w:rsidRPr="00DD1920">
              <w:rPr>
                <w:sz w:val="22"/>
              </w:rPr>
              <w:t>Pateiktų dokumentų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DD1920" w:rsidRDefault="00AA00F6" w:rsidP="00B21C23">
            <w:pPr>
              <w:spacing w:after="0" w:line="240" w:lineRule="auto"/>
              <w:jc w:val="center"/>
            </w:pPr>
            <w:r w:rsidRPr="00DD1920">
              <w:rPr>
                <w:sz w:val="22"/>
              </w:rPr>
              <w:t>Dokumento puslapių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DD1920" w:rsidRDefault="00AA00F6" w:rsidP="00B21C23">
            <w:pPr>
              <w:spacing w:after="0" w:line="240" w:lineRule="auto"/>
              <w:jc w:val="center"/>
            </w:pPr>
            <w:r w:rsidRPr="00DD1920">
              <w:rPr>
                <w:sz w:val="22"/>
              </w:rPr>
              <w:t>Failo, kuriame yra dokumentas, pavadinimas</w:t>
            </w:r>
          </w:p>
        </w:tc>
      </w:tr>
      <w:tr w:rsidR="00AA00F6" w:rsidRPr="00DD1920" w:rsidTr="00AA00F6">
        <w:trPr>
          <w:trHeight w:val="2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Pasiūlymas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122883" w:rsidP="00B21C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Pasiūlymas</w:t>
            </w:r>
          </w:p>
        </w:tc>
      </w:tr>
      <w:tr w:rsidR="00AA00F6" w:rsidRPr="00DD1920" w:rsidTr="00AA00F6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Kvalifikaciniai</w:t>
            </w:r>
            <w:r w:rsidRPr="00AA00F6">
              <w:rPr>
                <w:szCs w:val="24"/>
              </w:rPr>
              <w:t xml:space="preserve"> dokumentai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Kvalifikaciniai</w:t>
            </w:r>
            <w:r w:rsidRPr="00AA00F6">
              <w:rPr>
                <w:szCs w:val="24"/>
              </w:rPr>
              <w:t xml:space="preserve"> dokumentai</w:t>
            </w:r>
          </w:p>
        </w:tc>
      </w:tr>
      <w:tr w:rsidR="00AA00F6" w:rsidRPr="00DD1920" w:rsidTr="00AA00F6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Tender Authorisation Letter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122883" w:rsidP="00B21C23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Tender Authorisation Letter 14</w:t>
            </w:r>
          </w:p>
        </w:tc>
      </w:tr>
      <w:tr w:rsidR="00AA00F6" w:rsidRPr="00DD1920" w:rsidTr="00AA00F6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VertimasAutorizacija2014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122883" w:rsidP="00B21C23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VertimasAutorizacija2014</w:t>
            </w:r>
          </w:p>
        </w:tc>
      </w:tr>
      <w:tr w:rsidR="00AA00F6" w:rsidRPr="00DD1920" w:rsidTr="00AA00F6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CE Certificate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CE Certificate</w:t>
            </w:r>
          </w:p>
        </w:tc>
      </w:tr>
      <w:tr w:rsidR="00AA00F6" w:rsidRPr="00DD1920" w:rsidTr="00AA00F6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VertimasCEsertifikatas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VertimasCEsertifikatas</w:t>
            </w:r>
          </w:p>
        </w:tc>
      </w:tr>
      <w:tr w:rsidR="00AA00F6" w:rsidRPr="00DD1920" w:rsidTr="00AA00F6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Alpha-Brochure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Alpha-Brochure</w:t>
            </w:r>
          </w:p>
        </w:tc>
      </w:tr>
      <w:tr w:rsidR="00AA00F6" w:rsidRPr="00DD1920" w:rsidTr="00AA00F6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IndithermInstr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IndithermInstr</w:t>
            </w:r>
          </w:p>
        </w:tc>
      </w:tr>
      <w:tr w:rsidR="00AA00F6" w:rsidRPr="00DD1920" w:rsidTr="00AA00F6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VertimasAlpha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F6" w:rsidRPr="00AA00F6" w:rsidRDefault="00AA00F6" w:rsidP="00B21C23">
            <w:pPr>
              <w:spacing w:after="0" w:line="240" w:lineRule="auto"/>
              <w:jc w:val="both"/>
              <w:rPr>
                <w:szCs w:val="24"/>
              </w:rPr>
            </w:pPr>
            <w:r w:rsidRPr="00AA00F6">
              <w:rPr>
                <w:szCs w:val="24"/>
              </w:rPr>
              <w:t>VertimasAlpha</w:t>
            </w:r>
          </w:p>
        </w:tc>
      </w:tr>
      <w:tr w:rsidR="00AA00F6" w:rsidRPr="00DD1920" w:rsidTr="00AA0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2"/>
        </w:trPr>
        <w:tc>
          <w:tcPr>
            <w:tcW w:w="679" w:type="dxa"/>
            <w:tcBorders>
              <w:top w:val="single" w:sz="4" w:space="0" w:color="auto"/>
            </w:tcBorders>
          </w:tcPr>
          <w:p w:rsidR="00AA00F6" w:rsidRPr="00DD1920" w:rsidRDefault="00AA00F6" w:rsidP="00B21C23"/>
        </w:tc>
        <w:tc>
          <w:tcPr>
            <w:tcW w:w="9210" w:type="dxa"/>
            <w:gridSpan w:val="3"/>
            <w:tcBorders>
              <w:top w:val="single" w:sz="4" w:space="0" w:color="auto"/>
            </w:tcBorders>
          </w:tcPr>
          <w:p w:rsidR="00AA00F6" w:rsidRDefault="00AA00F6" w:rsidP="00B21C23">
            <w:pPr>
              <w:spacing w:after="0" w:line="240" w:lineRule="auto"/>
              <w:ind w:firstLine="720"/>
              <w:jc w:val="both"/>
              <w:rPr>
                <w:sz w:val="14"/>
                <w:szCs w:val="14"/>
              </w:rPr>
            </w:pPr>
          </w:p>
          <w:p w:rsidR="00AA00F6" w:rsidRPr="00DD1920" w:rsidRDefault="00AA00F6" w:rsidP="00B21C23">
            <w:pPr>
              <w:spacing w:after="0" w:line="240" w:lineRule="auto"/>
              <w:ind w:firstLine="720"/>
              <w:jc w:val="both"/>
              <w:rPr>
                <w:sz w:val="14"/>
                <w:szCs w:val="14"/>
              </w:rPr>
            </w:pPr>
          </w:p>
          <w:p w:rsidR="00AA00F6" w:rsidRPr="00DD1920" w:rsidRDefault="00AA00F6" w:rsidP="00B21C23">
            <w:pPr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DD1920">
              <w:t xml:space="preserve">Pasiūlymas galioja iki termino, nustatyto pirkimo dokumentuose. </w:t>
            </w:r>
          </w:p>
          <w:p w:rsidR="00AA00F6" w:rsidRDefault="00AA00F6" w:rsidP="00B21C23">
            <w:pPr>
              <w:spacing w:after="0" w:line="240" w:lineRule="auto"/>
              <w:ind w:firstLine="720"/>
              <w:jc w:val="both"/>
              <w:rPr>
                <w:sz w:val="20"/>
                <w:szCs w:val="20"/>
              </w:rPr>
            </w:pPr>
          </w:p>
          <w:tbl>
            <w:tblPr>
              <w:tblW w:w="9828" w:type="dxa"/>
              <w:tblLayout w:type="fixed"/>
              <w:tblLook w:val="04A0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AA00F6" w:rsidRPr="00DD1920" w:rsidTr="00B21C23">
              <w:trPr>
                <w:trHeight w:val="151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0F6" w:rsidRPr="00AA00F6" w:rsidRDefault="00AA00F6" w:rsidP="00B21C23">
                  <w:pPr>
                    <w:spacing w:after="0" w:line="240" w:lineRule="auto"/>
                    <w:rPr>
                      <w:szCs w:val="24"/>
                    </w:rPr>
                  </w:pPr>
                  <w:r w:rsidRPr="00AA00F6">
                    <w:rPr>
                      <w:szCs w:val="24"/>
                    </w:rPr>
                    <w:t>Administratorė</w:t>
                  </w:r>
                </w:p>
              </w:tc>
              <w:tc>
                <w:tcPr>
                  <w:tcW w:w="604" w:type="dxa"/>
                </w:tcPr>
                <w:p w:rsidR="00AA00F6" w:rsidRPr="00AA00F6" w:rsidRDefault="00AA00F6" w:rsidP="00B21C2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0F6" w:rsidRPr="00AA00F6" w:rsidRDefault="00AA00F6" w:rsidP="00B21C2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1" w:type="dxa"/>
                </w:tcPr>
                <w:p w:rsidR="00AA00F6" w:rsidRPr="00AA00F6" w:rsidRDefault="00AA00F6" w:rsidP="00B21C2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0F6" w:rsidRPr="00AA00F6" w:rsidRDefault="00AA00F6" w:rsidP="00AA00F6">
                  <w:pPr>
                    <w:spacing w:after="0" w:line="240" w:lineRule="auto"/>
                    <w:rPr>
                      <w:szCs w:val="24"/>
                    </w:rPr>
                  </w:pPr>
                  <w:r w:rsidRPr="00AA00F6">
                    <w:rPr>
                      <w:szCs w:val="24"/>
                    </w:rPr>
                    <w:t>Edita Štuopienė</w:t>
                  </w:r>
                </w:p>
              </w:tc>
              <w:tc>
                <w:tcPr>
                  <w:tcW w:w="789" w:type="dxa"/>
                </w:tcPr>
                <w:p w:rsidR="00AA00F6" w:rsidRPr="00DD1920" w:rsidRDefault="00AA00F6" w:rsidP="00B21C23">
                  <w:pPr>
                    <w:spacing w:after="0" w:line="240" w:lineRule="auto"/>
                    <w:jc w:val="right"/>
                  </w:pPr>
                </w:p>
              </w:tc>
            </w:tr>
            <w:tr w:rsidR="00AA00F6" w:rsidRPr="00DD1920" w:rsidTr="00B21C23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0F6" w:rsidRPr="00DD1920" w:rsidRDefault="00AA00F6" w:rsidP="00B21C23">
                  <w:pPr>
                    <w:spacing w:after="0" w:line="240" w:lineRule="auto"/>
                  </w:pPr>
                </w:p>
              </w:tc>
              <w:tc>
                <w:tcPr>
                  <w:tcW w:w="604" w:type="dxa"/>
                </w:tcPr>
                <w:p w:rsidR="00AA00F6" w:rsidRPr="00DD1920" w:rsidRDefault="00AA00F6" w:rsidP="00B21C23">
                  <w:pPr>
                    <w:spacing w:after="0" w:line="240" w:lineRule="auto"/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0F6" w:rsidRPr="00DD1920" w:rsidRDefault="00AA00F6" w:rsidP="00B21C23">
                  <w:pPr>
                    <w:spacing w:after="0" w:line="240" w:lineRule="auto"/>
                  </w:pPr>
                </w:p>
              </w:tc>
              <w:tc>
                <w:tcPr>
                  <w:tcW w:w="701" w:type="dxa"/>
                </w:tcPr>
                <w:p w:rsidR="00AA00F6" w:rsidRPr="00DD1920" w:rsidRDefault="00AA00F6" w:rsidP="00B21C23">
                  <w:pPr>
                    <w:spacing w:after="0" w:line="240" w:lineRule="auto"/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0F6" w:rsidRPr="00DD1920" w:rsidRDefault="00AA00F6" w:rsidP="00B21C23">
                  <w:pPr>
                    <w:spacing w:after="0" w:line="240" w:lineRule="auto"/>
                  </w:pPr>
                </w:p>
              </w:tc>
              <w:tc>
                <w:tcPr>
                  <w:tcW w:w="789" w:type="dxa"/>
                </w:tcPr>
                <w:p w:rsidR="00AA00F6" w:rsidRPr="00DD1920" w:rsidRDefault="00AA00F6" w:rsidP="00B21C23">
                  <w:pPr>
                    <w:spacing w:after="0" w:line="240" w:lineRule="auto"/>
                  </w:pPr>
                </w:p>
              </w:tc>
            </w:tr>
          </w:tbl>
          <w:p w:rsidR="00AA00F6" w:rsidRPr="00DD1920" w:rsidRDefault="00AA00F6" w:rsidP="00B21C23">
            <w:pPr>
              <w:spacing w:after="0" w:line="240" w:lineRule="auto"/>
              <w:ind w:firstLine="720"/>
              <w:jc w:val="both"/>
            </w:pPr>
          </w:p>
        </w:tc>
      </w:tr>
    </w:tbl>
    <w:p w:rsidR="00D24C59" w:rsidRDefault="00D24C59"/>
    <w:sectPr w:rsidR="00D24C59" w:rsidSect="00D24C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328EF"/>
    <w:multiLevelType w:val="hybridMultilevel"/>
    <w:tmpl w:val="28501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91585"/>
    <w:multiLevelType w:val="hybridMultilevel"/>
    <w:tmpl w:val="28501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compat/>
  <w:rsids>
    <w:rsidRoot w:val="00AA00F6"/>
    <w:rsid w:val="000F3D86"/>
    <w:rsid w:val="00122883"/>
    <w:rsid w:val="00222DDF"/>
    <w:rsid w:val="00834DF2"/>
    <w:rsid w:val="00890371"/>
    <w:rsid w:val="00AA00F6"/>
    <w:rsid w:val="00B21C23"/>
    <w:rsid w:val="00B24964"/>
    <w:rsid w:val="00D24C59"/>
    <w:rsid w:val="00EE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F6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AA00F6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AA00F6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AA00F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Heading 4 Char Char Char Char,Heading 4 Char Char Char Char Char,Sub-Clause Sub-paragraph, Sub-Clause Sub-paragraph"/>
    <w:basedOn w:val="Normal"/>
    <w:next w:val="Normal"/>
    <w:link w:val="Heading4Char"/>
    <w:qFormat/>
    <w:rsid w:val="00AA00F6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AA00F6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AA00F6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AA00F6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AA00F6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AA00F6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0F6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AA00F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AA00F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Heading 4 Char Char Char Char Char1,Heading 4 Char Char Char Char Char Char,Sub-Clause Sub-paragraph Char, Sub-Clause Sub-paragraph Char"/>
    <w:basedOn w:val="DefaultParagraphFont"/>
    <w:link w:val="Heading4"/>
    <w:rsid w:val="00AA00F6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AA00F6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AA00F6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AA00F6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AA00F6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AA00F6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Header">
    <w:name w:val="header"/>
    <w:aliases w:val=" Diagrama2,Diagrama2"/>
    <w:basedOn w:val="Normal"/>
    <w:link w:val="HeaderChar"/>
    <w:rsid w:val="00AA00F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AA00F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semiHidden/>
    <w:rsid w:val="00AA00F6"/>
    <w:pPr>
      <w:tabs>
        <w:tab w:val="left" w:pos="4536"/>
      </w:tabs>
      <w:spacing w:after="0" w:line="240" w:lineRule="auto"/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AA00F6"/>
    <w:rPr>
      <w:rFonts w:ascii="Times New Roman" w:eastAsia="Calibri" w:hAnsi="Times New Roman" w:cs="Times New Roman"/>
      <w:sz w:val="24"/>
    </w:rPr>
  </w:style>
  <w:style w:type="paragraph" w:customStyle="1" w:styleId="pavadinimai">
    <w:name w:val="pavadinimai"/>
    <w:basedOn w:val="Normal"/>
    <w:rsid w:val="00AA00F6"/>
    <w:pPr>
      <w:spacing w:before="360" w:after="240" w:line="240" w:lineRule="auto"/>
      <w:jc w:val="center"/>
    </w:pPr>
    <w:rPr>
      <w:b/>
      <w:szCs w:val="24"/>
    </w:rPr>
  </w:style>
  <w:style w:type="character" w:styleId="Hyperlink">
    <w:name w:val="Hyperlink"/>
    <w:basedOn w:val="DefaultParagraphFont"/>
    <w:semiHidden/>
    <w:rsid w:val="00AA00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1C23"/>
    <w:pPr>
      <w:spacing w:after="0" w:line="240" w:lineRule="auto"/>
      <w:ind w:left="720"/>
      <w:contextualSpacing/>
    </w:pPr>
    <w:rPr>
      <w:rFonts w:eastAsia="Times New Roman"/>
      <w:noProof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cina@medpro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3555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estuopiene</dc:creator>
  <cp:keywords/>
  <dc:description/>
  <cp:lastModifiedBy>estuopiene</cp:lastModifiedBy>
  <cp:revision>5</cp:revision>
  <dcterms:created xsi:type="dcterms:W3CDTF">2014-12-11T10:40:00Z</dcterms:created>
  <dcterms:modified xsi:type="dcterms:W3CDTF">2014-12-12T09:04:00Z</dcterms:modified>
</cp:coreProperties>
</file>