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2215E" w14:textId="0384A146" w:rsidR="00CA1E3C" w:rsidRDefault="00CA1E3C" w:rsidP="00CA1E3C">
      <w:pPr>
        <w:pStyle w:val="Pavadinimas"/>
        <w:jc w:val="right"/>
        <w:rPr>
          <w:rFonts w:ascii="Arial" w:hAnsi="Arial" w:cs="Arial"/>
          <w:szCs w:val="24"/>
        </w:rPr>
      </w:pPr>
      <w:bookmarkStart w:id="0" w:name="_Toc30155449"/>
      <w:r>
        <w:rPr>
          <w:rFonts w:ascii="Arial" w:hAnsi="Arial" w:cs="Arial"/>
          <w:szCs w:val="24"/>
        </w:rPr>
        <w:t xml:space="preserve">3 </w:t>
      </w:r>
      <w:proofErr w:type="spellStart"/>
      <w:r>
        <w:rPr>
          <w:rFonts w:ascii="Arial" w:hAnsi="Arial" w:cs="Arial"/>
          <w:szCs w:val="24"/>
        </w:rPr>
        <w:t>priedas</w:t>
      </w:r>
      <w:proofErr w:type="spellEnd"/>
    </w:p>
    <w:p w14:paraId="4759DDFC" w14:textId="61E0D32C" w:rsidR="005743B1" w:rsidRPr="005A0890" w:rsidRDefault="005743B1" w:rsidP="00341DC0">
      <w:pPr>
        <w:pStyle w:val="Pavadinimas"/>
        <w:jc w:val="center"/>
        <w:rPr>
          <w:rFonts w:ascii="Arial" w:hAnsi="Arial" w:cs="Arial"/>
          <w:szCs w:val="24"/>
        </w:rPr>
      </w:pPr>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CF419E" w:rsidRPr="005A0890">
        <w:rPr>
          <w:rFonts w:ascii="Arial" w:hAnsi="Arial" w:cs="Arial"/>
          <w:szCs w:val="24"/>
        </w:rPr>
        <w:t>–</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6B689A2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6A795BC5"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 ar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570ED24F" w14:textId="094E36B2" w:rsidR="00ED2657" w:rsidRPr="0041118E" w:rsidRDefault="00413543" w:rsidP="00761E91">
      <w:pPr>
        <w:pStyle w:val="Stilius1"/>
        <w:ind w:firstLine="720"/>
        <w:jc w:val="both"/>
        <w:rPr>
          <w:rFonts w:ascii="Arial" w:hAnsi="Arial" w:cs="Arial"/>
          <w:bCs/>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laimėtoju, sudarant Paslaugų viešojo pirkimo – pardavimo sutartį.</w:t>
      </w:r>
      <w:r w:rsidR="00F14641" w:rsidRPr="0041118E">
        <w:rPr>
          <w:rFonts w:ascii="Arial" w:eastAsia="Calibri" w:hAnsi="Arial" w:cs="Arial"/>
          <w:iCs/>
          <w:sz w:val="22"/>
          <w:szCs w:val="22"/>
        </w:rPr>
        <w:t>1.</w:t>
      </w:r>
      <w:r w:rsidR="00A45DC4">
        <w:rPr>
          <w:rFonts w:ascii="Arial" w:eastAsia="Calibri" w:hAnsi="Arial" w:cs="Arial"/>
          <w:iCs/>
          <w:sz w:val="22"/>
          <w:szCs w:val="22"/>
        </w:rPr>
        <w:t>9</w:t>
      </w:r>
      <w:r w:rsidR="00F14641" w:rsidRPr="0041118E">
        <w:rPr>
          <w:rFonts w:ascii="Arial" w:eastAsia="Calibri" w:hAnsi="Arial" w:cs="Arial"/>
          <w:iCs/>
          <w:sz w:val="22"/>
          <w:szCs w:val="22"/>
        </w:rPr>
        <w:t>.</w:t>
      </w:r>
      <w:r w:rsidR="00F14641"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ED2657" w:rsidRPr="0041118E">
        <w:rPr>
          <w:rFonts w:ascii="Arial" w:eastAsia="Calibri" w:hAnsi="Arial" w:cs="Arial"/>
          <w:iCs/>
          <w:sz w:val="22"/>
          <w:szCs w:val="22"/>
        </w:rPr>
        <w:t>/</w:t>
      </w:r>
      <w:r w:rsidR="001A3E58" w:rsidRPr="0041118E">
        <w:rPr>
          <w:rFonts w:ascii="Arial" w:eastAsia="Calibri" w:hAnsi="Arial" w:cs="Arial"/>
          <w:iCs/>
          <w:sz w:val="22"/>
          <w:szCs w:val="22"/>
        </w:rPr>
        <w:t> </w:t>
      </w:r>
      <w:r w:rsidR="00ED2657" w:rsidRPr="0041118E">
        <w:rPr>
          <w:rFonts w:ascii="Arial" w:eastAsia="Calibri" w:hAnsi="Arial" w:cs="Arial"/>
          <w:iCs/>
          <w:sz w:val="22"/>
          <w:szCs w:val="22"/>
        </w:rPr>
        <w:t>ar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2AD99A86"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 xml:space="preserve">pirkimo–pardavimo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70F49D13" w14:textId="3FE437D2" w:rsidR="00157FA9" w:rsidRPr="0041118E"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r w:rsidR="00F14641" w:rsidRPr="0041118E">
        <w:rPr>
          <w:rFonts w:ascii="Arial" w:hAnsi="Arial" w:cs="Arial"/>
          <w:sz w:val="22"/>
          <w:szCs w:val="22"/>
        </w:rPr>
        <w:t>1.1</w:t>
      </w:r>
      <w:r w:rsidR="00A45DC4">
        <w:rPr>
          <w:rFonts w:ascii="Arial" w:hAnsi="Arial" w:cs="Arial"/>
          <w:sz w:val="22"/>
          <w:szCs w:val="22"/>
        </w:rPr>
        <w:t>4</w:t>
      </w:r>
      <w:r w:rsidR="00F14641"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6CC4759C"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Specialiosiose sąlygose ir / ar prieduose nenustatyta kitaip, Sutarties trukmė ir kiti terminai yra skaičiuojami kalendorinėmis dienomis.</w:t>
      </w:r>
    </w:p>
    <w:p w14:paraId="7A10A4F7" w14:textId="47E0CED8"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lastRenderedPageBreak/>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4"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4"/>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1E20CFB7"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C6522E" w:rsidRPr="00761E91">
        <w:rPr>
          <w:rFonts w:ascii="Arial" w:hAnsi="Arial" w:cs="Arial"/>
          <w:sz w:val="22"/>
          <w:szCs w:val="22"/>
          <w:lang w:val="lt-LT"/>
        </w:rPr>
        <w:t>/</w:t>
      </w:r>
      <w:r w:rsidR="00691CE1">
        <w:rPr>
          <w:rFonts w:ascii="Arial" w:hAnsi="Arial" w:cs="Arial"/>
          <w:sz w:val="22"/>
          <w:szCs w:val="22"/>
          <w:lang w:val="lt-LT"/>
        </w:rPr>
        <w:t xml:space="preserve"> </w:t>
      </w:r>
      <w:r w:rsidR="00C6522E" w:rsidRPr="00761E91">
        <w:rPr>
          <w:rFonts w:ascii="Arial" w:hAnsi="Arial" w:cs="Arial"/>
          <w:sz w:val="22"/>
          <w:szCs w:val="22"/>
          <w:lang w:val="lt-LT"/>
        </w:rPr>
        <w:t>ar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6F9B56DE"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Pr="00761E91">
        <w:rPr>
          <w:rFonts w:ascii="Arial" w:hAnsi="Arial" w:cs="Arial"/>
          <w:sz w:val="22"/>
          <w:szCs w:val="22"/>
          <w:lang w:val="lt-LT"/>
        </w:rPr>
        <w:t>/</w:t>
      </w:r>
      <w:r w:rsidR="00D22F31" w:rsidRPr="00761E91">
        <w:rPr>
          <w:rFonts w:ascii="Arial" w:hAnsi="Arial" w:cs="Arial"/>
          <w:sz w:val="22"/>
          <w:szCs w:val="22"/>
          <w:lang w:val="lt-LT"/>
        </w:rPr>
        <w:t xml:space="preserve"> </w:t>
      </w:r>
      <w:r w:rsidRPr="00761E91">
        <w:rPr>
          <w:rFonts w:ascii="Arial" w:hAnsi="Arial" w:cs="Arial"/>
          <w:sz w:val="22"/>
          <w:szCs w:val="22"/>
          <w:lang w:val="lt-LT"/>
        </w:rPr>
        <w:t xml:space="preserve">ar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2807D8F3"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lastRenderedPageBreak/>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639335DA"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ir/ar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lastRenderedPageBreak/>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5"/>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29D4BE30"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kėjui turimą informaciją ir / ar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371EF3EE"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 ar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6"/>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149F1503"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Į Sutarties kainą ar maksimalią Sutarties 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galutinė(-iai)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2185C5D0"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maksimali Sutarties 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maksimalios Sutarties 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maksimali Sutarties 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ar maksimalios Sutarties 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maksimalios Sutarties 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maksimali Sutarties 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lastRenderedPageBreak/>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7C72282"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w:t>
      </w:r>
      <w:r w:rsidR="001D4312" w:rsidRPr="00761E91">
        <w:rPr>
          <w:rFonts w:ascii="Arial" w:hAnsi="Arial" w:cs="Arial"/>
          <w:sz w:val="22"/>
          <w:szCs w:val="22"/>
        </w:rPr>
        <w:t>Šalys pilnai prisiima riziką dėl galimo valiutų kurso pasikeitimo (jei toks būtų)</w:t>
      </w:r>
      <w:r w:rsidRPr="00761E91">
        <w:rPr>
          <w:rFonts w:ascii="Arial" w:hAnsi="Arial" w:cs="Arial"/>
          <w:sz w:val="22"/>
          <w:szCs w:val="22"/>
        </w:rPr>
        <w:t xml:space="preserve">.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4FCFE80"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perdavimo-priėmimo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68BC4E90"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7"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7"/>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8" w:name="_Toc438559816"/>
      <w:bookmarkStart w:id="9"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8"/>
      <w:bookmarkEnd w:id="9"/>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33180E5"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 ar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3DBCC94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106852" w:rsidRPr="00761E91">
        <w:rPr>
          <w:rFonts w:ascii="Arial" w:eastAsia="Calibri" w:hAnsi="Arial" w:cs="Arial"/>
          <w:bCs/>
          <w:sz w:val="22"/>
          <w:szCs w:val="22"/>
        </w:rPr>
        <w:t>–</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106852" w:rsidRPr="00761E91">
        <w:rPr>
          <w:rFonts w:ascii="Arial" w:eastAsia="Calibri" w:hAnsi="Arial" w:cs="Arial"/>
          <w:bCs/>
          <w:sz w:val="22"/>
          <w:szCs w:val="22"/>
        </w:rPr>
        <w:t>–</w:t>
      </w:r>
      <w:r w:rsidR="00106852" w:rsidRPr="00761E91">
        <w:rPr>
          <w:rFonts w:ascii="Arial" w:hAnsi="Arial" w:cs="Arial"/>
          <w:sz w:val="22"/>
          <w:szCs w:val="22"/>
        </w:rPr>
        <w:t>priėmimo aktą pasirašo Užsakovo ir Paslaugų teikėjo atsakingi atstovai.</w:t>
      </w:r>
    </w:p>
    <w:p w14:paraId="52BA6164" w14:textId="4C8D2844"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 xml:space="preserve">Paslaugų perdavimo–priėmimo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 ar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58E7368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3459230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D65E09" w14:textId="57C8305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106852" w:rsidRPr="00761E91">
        <w:rPr>
          <w:rFonts w:ascii="Arial" w:hAnsi="Arial" w:cs="Arial"/>
          <w:sz w:val="22"/>
          <w:szCs w:val="22"/>
        </w:rPr>
        <w:t xml:space="preserve">priėmimo akto dėl Paslaugų teikėjo kaltės. </w:t>
      </w:r>
    </w:p>
    <w:p w14:paraId="00E27D61" w14:textId="35F3D77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0"/>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5038602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7.2. Garantinių įsipareigojimų terminas Paslaugoms nustatytas Sutarties Specialiosiose sąlygose ir / ar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4922B22E"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7E193E73"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 xml:space="preserve">endrą Sutarties kainą </w:t>
      </w:r>
      <w:r w:rsidRPr="00761E91">
        <w:rPr>
          <w:rFonts w:ascii="Arial" w:hAnsi="Arial" w:cs="Arial"/>
          <w:i/>
          <w:sz w:val="22"/>
          <w:szCs w:val="22"/>
        </w:rPr>
        <w:t>(jei taikoma)</w:t>
      </w:r>
      <w:r w:rsidR="006E5EA8">
        <w:rPr>
          <w:rFonts w:ascii="Arial" w:hAnsi="Arial" w:cs="Arial"/>
          <w:i/>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2" w:name="_Toc30155459"/>
      <w:r w:rsidRPr="00761E91">
        <w:rPr>
          <w:rFonts w:ascii="Arial" w:hAnsi="Arial" w:cs="Arial"/>
          <w:sz w:val="22"/>
          <w:szCs w:val="22"/>
        </w:rPr>
        <w:lastRenderedPageBreak/>
        <w:t>9</w:t>
      </w:r>
      <w:r w:rsidR="005743B1" w:rsidRPr="00761E91">
        <w:rPr>
          <w:rFonts w:ascii="Arial" w:hAnsi="Arial" w:cs="Arial"/>
          <w:sz w:val="22"/>
          <w:szCs w:val="22"/>
        </w:rPr>
        <w:t>. ŠALIŲ ATSAKOMYBĖ</w:t>
      </w:r>
      <w:bookmarkEnd w:id="12"/>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7918AE"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Užsakovui n</w:t>
      </w:r>
      <w:r w:rsidR="00581E74" w:rsidRPr="00761E91">
        <w:rPr>
          <w:rFonts w:ascii="Arial" w:hAnsi="Arial" w:cs="Arial"/>
          <w:sz w:val="22"/>
          <w:szCs w:val="22"/>
        </w:rPr>
        <w:t xml:space="preserve">eatlikus apmokėjimo 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Specialiosiose sąlygose nenumatyta kitaip. </w:t>
      </w:r>
    </w:p>
    <w:p w14:paraId="1039E429" w14:textId="4D158AEB"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Specialiosiose sąlygose nenumatyta kitaip. </w:t>
      </w:r>
    </w:p>
    <w:p w14:paraId="28A34BE9" w14:textId="763B6E32"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kėju ar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0FF797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 xml:space="preserve">raštu, jei jam yra pritaikytos Sankcijos ar jam yra žinoma informacija apie inicijuotas arba ketinamas inicijuoti procedūras dėl Sankcijų jam ir / ar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4C09AD30"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kuriuos pa</w:t>
      </w:r>
      <w:r w:rsidR="005A33F0" w:rsidRPr="00761E91">
        <w:rPr>
          <w:rFonts w:ascii="Arial" w:eastAsia="Calibri" w:hAnsi="Arial" w:cs="Arial"/>
          <w:sz w:val="22"/>
          <w:szCs w:val="22"/>
        </w:rPr>
        <w:t>tiekti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kuri</w:t>
      </w:r>
      <w:r w:rsidR="0080715B" w:rsidRPr="00761E91">
        <w:rPr>
          <w:rFonts w:ascii="Arial" w:eastAsia="Calibri" w:hAnsi="Arial" w:cs="Arial"/>
          <w:sz w:val="22"/>
          <w:szCs w:val="22"/>
        </w:rPr>
        <w:t>uos</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lastRenderedPageBreak/>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5"/>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714A9661"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76F81808"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38B8BF7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teikėjas</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0F7E70B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104C9139"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Užsakovui</w:t>
      </w:r>
      <w:r w:rsidR="005A7A56" w:rsidRPr="00761E91">
        <w:rPr>
          <w:rFonts w:ascii="Arial" w:hAnsi="Arial" w:cs="Arial"/>
          <w:sz w:val="22"/>
          <w:szCs w:val="22"/>
        </w:rPr>
        <w:t xml:space="preserve"> pritaria keitimui, jungtinės veiklos partnerio keitimas įforminamas rašytiniu Šalių susitarimu.</w:t>
      </w:r>
    </w:p>
    <w:p w14:paraId="1D884677" w14:textId="77777777" w:rsidR="00761E91" w:rsidRDefault="002533A2" w:rsidP="00341DC0">
      <w:pPr>
        <w:pStyle w:val="Stilius1"/>
        <w:jc w:val="both"/>
        <w:rPr>
          <w:rFonts w:ascii="Arial" w:hAnsi="Arial" w:cs="Arial"/>
          <w:sz w:val="22"/>
          <w:szCs w:val="22"/>
        </w:rPr>
      </w:pPr>
      <w:r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6"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6"/>
      <w:r w:rsidR="00542D6F" w:rsidRPr="00712720">
        <w:rPr>
          <w:rFonts w:ascii="Arial" w:hAnsi="Arial" w:cs="Arial"/>
          <w:sz w:val="22"/>
          <w:szCs w:val="22"/>
          <w:lang w:val="lt-LT"/>
        </w:rPr>
        <w:t xml:space="preserve"> </w:t>
      </w:r>
      <w:bookmarkStart w:id="17"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7"/>
    <w:p w14:paraId="1D9864A9" w14:textId="1686F09D"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w:t>
      </w:r>
      <w:r w:rsidR="005A7A56" w:rsidRPr="00761E91">
        <w:rPr>
          <w:rFonts w:ascii="Arial" w:hAnsi="Arial" w:cs="Arial"/>
          <w:sz w:val="22"/>
          <w:szCs w:val="22"/>
        </w:rPr>
        <w:lastRenderedPageBreak/>
        <w:t xml:space="preserve">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01918177" w:rsidR="0056078C" w:rsidRPr="00761E91" w:rsidRDefault="004B3F34" w:rsidP="00375FF4">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xml:space="preserve">. SUTARTIES ĮVYKDYMO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8"/>
    </w:p>
    <w:p w14:paraId="548DD498" w14:textId="2D19AF2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 xml:space="preserve">Specialiosiose sąlygose numatyta, kad tinkamam Sutarties įvykdymui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 užtikrinamo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0C34E25"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lastRenderedPageBreak/>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4A4A5A80"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0DA0BF5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w:t>
      </w:r>
      <w:r w:rsidR="00802D53" w:rsidRPr="00761E91">
        <w:rPr>
          <w:rFonts w:ascii="Arial" w:hAnsi="Arial" w:cs="Arial"/>
          <w:sz w:val="22"/>
          <w:szCs w:val="22"/>
        </w:rPr>
        <w:lastRenderedPageBreak/>
        <w:t xml:space="preserve">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288A283C" w14:textId="03C64E59" w:rsidR="0009093A" w:rsidRPr="00761E91" w:rsidRDefault="00631DE0" w:rsidP="00375FF4">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(FORCE MAJEURE)</w:t>
      </w:r>
      <w:bookmarkEnd w:id="19"/>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0"/>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lastRenderedPageBreak/>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2"/>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03C0841E"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3" w:name="_Hlk37933141"/>
      <w:r w:rsidR="001D61AC" w:rsidRPr="00761E91">
        <w:rPr>
          <w:rFonts w:ascii="Arial" w:hAnsi="Arial" w:cs="Arial"/>
          <w:sz w:val="22"/>
          <w:szCs w:val="22"/>
        </w:rPr>
        <w:t>Sutarties sąlygos Sutarties galiojimo laikotarpiu negali būti keičiamos, išskyrus tokias Sutarties sąlygas, kurių keitimas numatytas Sutartyje ir / ar galimas vadovaujantis Įstatymu</w:t>
      </w:r>
      <w:bookmarkEnd w:id="23"/>
      <w:r w:rsidR="001D61AC" w:rsidRPr="00761E91">
        <w:rPr>
          <w:rFonts w:ascii="Arial" w:hAnsi="Arial" w:cs="Arial"/>
          <w:sz w:val="22"/>
          <w:szCs w:val="22"/>
        </w:rPr>
        <w:t>.</w:t>
      </w:r>
      <w:r w:rsidR="00EA58FA">
        <w:rPr>
          <w:rFonts w:ascii="Arial" w:hAnsi="Arial" w:cs="Arial"/>
          <w:sz w:val="22"/>
          <w:szCs w:val="22"/>
        </w:rPr>
        <w:t xml:space="preserve"> </w:t>
      </w:r>
      <w:bookmarkStart w:id="24"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4"/>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5"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5"/>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6"/>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7"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0"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0"/>
      <w:r w:rsidR="006B1D48" w:rsidRPr="00761E91">
        <w:rPr>
          <w:rFonts w:ascii="Arial" w:hAnsi="Arial" w:cs="Arial"/>
          <w:sz w:val="22"/>
          <w:szCs w:val="22"/>
        </w:rPr>
        <w:t>;</w:t>
      </w:r>
    </w:p>
    <w:bookmarkEnd w:id="27"/>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77777777"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16.3.12. kai Paslaugų teikėjas perleidžia Sutartį ar 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62B3B49E" w14:textId="5AF614F0" w:rsidR="00280FCD"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5501FEC1"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7E955EC"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2D922CA8"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BC7EE6A"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5DF9A1E8"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lastRenderedPageBreak/>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76572C5F"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maksimalios Sutarties 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44D5D615"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1"/>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2"/>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8D01123"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 ar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3"/>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w:t>
      </w:r>
      <w:r w:rsidR="00EC0486" w:rsidRPr="00761E91">
        <w:rPr>
          <w:rFonts w:ascii="Arial" w:eastAsia="Calibri" w:hAnsi="Arial" w:cs="Arial"/>
          <w:sz w:val="22"/>
          <w:szCs w:val="22"/>
        </w:rPr>
        <w:lastRenderedPageBreak/>
        <w:t xml:space="preserve">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4"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4"/>
      <w:r w:rsidR="004D32CE">
        <w:rPr>
          <w:rFonts w:ascii="Arial" w:hAnsi="Arial" w:cs="Arial"/>
          <w:sz w:val="22"/>
          <w:szCs w:val="22"/>
        </w:rPr>
        <w:t xml:space="preserve"> </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944638" w14:textId="77777777" w:rsidR="00695EFD" w:rsidRDefault="00695EFD" w:rsidP="005743B1">
      <w:r>
        <w:separator/>
      </w:r>
    </w:p>
  </w:endnote>
  <w:endnote w:type="continuationSeparator" w:id="0">
    <w:p w14:paraId="01BCB3E9" w14:textId="77777777" w:rsidR="00695EFD" w:rsidRDefault="00695EFD"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1CBFF" w14:textId="77777777" w:rsidR="00695EFD" w:rsidRDefault="00695EFD" w:rsidP="005743B1">
      <w:r>
        <w:separator/>
      </w:r>
    </w:p>
  </w:footnote>
  <w:footnote w:type="continuationSeparator" w:id="0">
    <w:p w14:paraId="26085631" w14:textId="77777777" w:rsidR="00695EFD" w:rsidRDefault="00695EFD"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5"/>
  </w:num>
  <w:num w:numId="4">
    <w:abstractNumId w:val="24"/>
  </w:num>
  <w:num w:numId="5">
    <w:abstractNumId w:val="12"/>
  </w:num>
  <w:num w:numId="6">
    <w:abstractNumId w:val="10"/>
  </w:num>
  <w:num w:numId="7">
    <w:abstractNumId w:val="23"/>
  </w:num>
  <w:num w:numId="8">
    <w:abstractNumId w:val="16"/>
  </w:num>
  <w:num w:numId="9">
    <w:abstractNumId w:val="20"/>
  </w:num>
  <w:num w:numId="10">
    <w:abstractNumId w:val="2"/>
  </w:num>
  <w:num w:numId="11">
    <w:abstractNumId w:val="11"/>
  </w:num>
  <w:num w:numId="12">
    <w:abstractNumId w:val="1"/>
  </w:num>
  <w:num w:numId="13">
    <w:abstractNumId w:val="4"/>
  </w:num>
  <w:num w:numId="14">
    <w:abstractNumId w:val="14"/>
  </w:num>
  <w:num w:numId="15">
    <w:abstractNumId w:val="18"/>
  </w:num>
  <w:num w:numId="16">
    <w:abstractNumId w:val="8"/>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3"/>
  </w:num>
  <w:num w:numId="21">
    <w:abstractNumId w:val="3"/>
  </w:num>
  <w:num w:numId="22">
    <w:abstractNumId w:val="21"/>
  </w:num>
  <w:num w:numId="23">
    <w:abstractNumId w:val="9"/>
  </w:num>
  <w:num w:numId="24">
    <w:abstractNumId w:val="22"/>
  </w:num>
  <w:num w:numId="25">
    <w:abstractNumId w:val="5"/>
  </w:num>
  <w:num w:numId="26">
    <w:abstractNumId w:val="7"/>
  </w:num>
  <w:num w:numId="27">
    <w:abstractNumId w:val="19"/>
  </w:num>
  <w:num w:numId="28">
    <w:abstractNumId w:val="17"/>
  </w:num>
  <w:num w:numId="29">
    <w:abstractNumId w:val="6"/>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lvlOverride w:ilvl="2">
      <w:lvl w:ilvl="2">
        <w:start w:val="1"/>
        <w:numFmt w:val="decimal"/>
        <w:lvlText w:val="%1.%2.%3."/>
        <w:lvlJc w:val="left"/>
        <w:pPr>
          <w:tabs>
            <w:tab w:val="num" w:pos="660"/>
          </w:tabs>
          <w:ind w:left="660" w:hanging="660"/>
        </w:pPr>
        <w:rPr>
          <w:b w:val="0"/>
          <w:bCs/>
          <w:color w:val="000000"/>
          <w:position w:val="0"/>
          <w:sz w:val="22"/>
          <w:szCs w:val="22"/>
          <w:u w:color="000000"/>
        </w:rPr>
      </w:lvl>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698E"/>
    <w:rsid w:val="001E72BB"/>
    <w:rsid w:val="001F1C05"/>
    <w:rsid w:val="001F6193"/>
    <w:rsid w:val="001F7856"/>
    <w:rsid w:val="00201425"/>
    <w:rsid w:val="00202120"/>
    <w:rsid w:val="002116D8"/>
    <w:rsid w:val="00216814"/>
    <w:rsid w:val="00216922"/>
    <w:rsid w:val="0021731C"/>
    <w:rsid w:val="002174C6"/>
    <w:rsid w:val="00224D96"/>
    <w:rsid w:val="0022738B"/>
    <w:rsid w:val="0022773B"/>
    <w:rsid w:val="00231DCE"/>
    <w:rsid w:val="00232362"/>
    <w:rsid w:val="002366A4"/>
    <w:rsid w:val="002366D9"/>
    <w:rsid w:val="00242A49"/>
    <w:rsid w:val="00246B6F"/>
    <w:rsid w:val="002479EE"/>
    <w:rsid w:val="002533A2"/>
    <w:rsid w:val="002549CD"/>
    <w:rsid w:val="00262CA4"/>
    <w:rsid w:val="0026345F"/>
    <w:rsid w:val="0026426D"/>
    <w:rsid w:val="00280FCD"/>
    <w:rsid w:val="00293EC1"/>
    <w:rsid w:val="00296179"/>
    <w:rsid w:val="0029697B"/>
    <w:rsid w:val="002A41F2"/>
    <w:rsid w:val="002B6A07"/>
    <w:rsid w:val="002C6D96"/>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1118E"/>
    <w:rsid w:val="00413543"/>
    <w:rsid w:val="00416606"/>
    <w:rsid w:val="004245F8"/>
    <w:rsid w:val="0043241F"/>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3E7F"/>
    <w:rsid w:val="0050684F"/>
    <w:rsid w:val="0050778F"/>
    <w:rsid w:val="005101AA"/>
    <w:rsid w:val="00520007"/>
    <w:rsid w:val="00521AAC"/>
    <w:rsid w:val="00527680"/>
    <w:rsid w:val="00532056"/>
    <w:rsid w:val="00534B3F"/>
    <w:rsid w:val="00542D6F"/>
    <w:rsid w:val="00554BB2"/>
    <w:rsid w:val="005557EB"/>
    <w:rsid w:val="0056078C"/>
    <w:rsid w:val="00560E8D"/>
    <w:rsid w:val="00562C66"/>
    <w:rsid w:val="0056603C"/>
    <w:rsid w:val="005743B1"/>
    <w:rsid w:val="005750A7"/>
    <w:rsid w:val="00580BDA"/>
    <w:rsid w:val="00581E74"/>
    <w:rsid w:val="005822DB"/>
    <w:rsid w:val="00594C49"/>
    <w:rsid w:val="0059628C"/>
    <w:rsid w:val="005A0890"/>
    <w:rsid w:val="005A1131"/>
    <w:rsid w:val="005A2D70"/>
    <w:rsid w:val="005A33F0"/>
    <w:rsid w:val="005A4E02"/>
    <w:rsid w:val="005A50AD"/>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683F"/>
    <w:rsid w:val="00616DCD"/>
    <w:rsid w:val="00625D06"/>
    <w:rsid w:val="00631DE0"/>
    <w:rsid w:val="00632A37"/>
    <w:rsid w:val="00633ABA"/>
    <w:rsid w:val="006364B8"/>
    <w:rsid w:val="00636726"/>
    <w:rsid w:val="006468E3"/>
    <w:rsid w:val="00652F3B"/>
    <w:rsid w:val="00656DB8"/>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D799F"/>
    <w:rsid w:val="006E5EA8"/>
    <w:rsid w:val="006E7D4C"/>
    <w:rsid w:val="006F325D"/>
    <w:rsid w:val="006F3DD1"/>
    <w:rsid w:val="0070374B"/>
    <w:rsid w:val="00703C40"/>
    <w:rsid w:val="0071081E"/>
    <w:rsid w:val="00710D01"/>
    <w:rsid w:val="00712720"/>
    <w:rsid w:val="00721CB1"/>
    <w:rsid w:val="0072339A"/>
    <w:rsid w:val="00733FD5"/>
    <w:rsid w:val="007348B5"/>
    <w:rsid w:val="0073713D"/>
    <w:rsid w:val="00742D11"/>
    <w:rsid w:val="00750035"/>
    <w:rsid w:val="00750C83"/>
    <w:rsid w:val="0075322E"/>
    <w:rsid w:val="00753368"/>
    <w:rsid w:val="00753D68"/>
    <w:rsid w:val="00755C0E"/>
    <w:rsid w:val="00761E91"/>
    <w:rsid w:val="00772B59"/>
    <w:rsid w:val="0077349A"/>
    <w:rsid w:val="007769FF"/>
    <w:rsid w:val="00780661"/>
    <w:rsid w:val="0078487D"/>
    <w:rsid w:val="00784DBF"/>
    <w:rsid w:val="00787138"/>
    <w:rsid w:val="007910E4"/>
    <w:rsid w:val="00794856"/>
    <w:rsid w:val="007962D5"/>
    <w:rsid w:val="007A7906"/>
    <w:rsid w:val="007B32DC"/>
    <w:rsid w:val="007B63FD"/>
    <w:rsid w:val="007C4E72"/>
    <w:rsid w:val="007C5166"/>
    <w:rsid w:val="007C6D3A"/>
    <w:rsid w:val="007C70C6"/>
    <w:rsid w:val="007C798F"/>
    <w:rsid w:val="007D2AB2"/>
    <w:rsid w:val="007D2E1C"/>
    <w:rsid w:val="007D2F20"/>
    <w:rsid w:val="007D59CC"/>
    <w:rsid w:val="007E0A79"/>
    <w:rsid w:val="007E0CCD"/>
    <w:rsid w:val="007E52CE"/>
    <w:rsid w:val="007E63DC"/>
    <w:rsid w:val="007F0914"/>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62EB"/>
    <w:rsid w:val="008C1E05"/>
    <w:rsid w:val="008C67D8"/>
    <w:rsid w:val="008C76DE"/>
    <w:rsid w:val="008D0AF2"/>
    <w:rsid w:val="008D514B"/>
    <w:rsid w:val="008D5A4E"/>
    <w:rsid w:val="008D6E10"/>
    <w:rsid w:val="008D73A3"/>
    <w:rsid w:val="008E3652"/>
    <w:rsid w:val="008E7AA8"/>
    <w:rsid w:val="008F3E83"/>
    <w:rsid w:val="008F704E"/>
    <w:rsid w:val="009013CC"/>
    <w:rsid w:val="00904A71"/>
    <w:rsid w:val="009161BA"/>
    <w:rsid w:val="00916996"/>
    <w:rsid w:val="00921432"/>
    <w:rsid w:val="00924621"/>
    <w:rsid w:val="00925A4A"/>
    <w:rsid w:val="00934EE4"/>
    <w:rsid w:val="00936EE8"/>
    <w:rsid w:val="00937EFC"/>
    <w:rsid w:val="009446B6"/>
    <w:rsid w:val="00960E72"/>
    <w:rsid w:val="00970FA0"/>
    <w:rsid w:val="00972460"/>
    <w:rsid w:val="009728A1"/>
    <w:rsid w:val="00973706"/>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437D"/>
    <w:rsid w:val="00AA7B8F"/>
    <w:rsid w:val="00AB1015"/>
    <w:rsid w:val="00AB6262"/>
    <w:rsid w:val="00AC06D3"/>
    <w:rsid w:val="00AC6166"/>
    <w:rsid w:val="00AC67F8"/>
    <w:rsid w:val="00AC7176"/>
    <w:rsid w:val="00AD043A"/>
    <w:rsid w:val="00AD12A5"/>
    <w:rsid w:val="00AE203F"/>
    <w:rsid w:val="00B0101B"/>
    <w:rsid w:val="00B01B9B"/>
    <w:rsid w:val="00B04D29"/>
    <w:rsid w:val="00B13273"/>
    <w:rsid w:val="00B15B8D"/>
    <w:rsid w:val="00B21E61"/>
    <w:rsid w:val="00B27B24"/>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A047E"/>
    <w:rsid w:val="00CA1E3C"/>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6F21"/>
    <w:rsid w:val="00D41F7B"/>
    <w:rsid w:val="00D429B2"/>
    <w:rsid w:val="00D42CB4"/>
    <w:rsid w:val="00D53DEE"/>
    <w:rsid w:val="00D5568F"/>
    <w:rsid w:val="00D62BD3"/>
    <w:rsid w:val="00D668B5"/>
    <w:rsid w:val="00D71A53"/>
    <w:rsid w:val="00D8104B"/>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7D07"/>
    <w:rsid w:val="00EA07D3"/>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5063"/>
    <w:rsid w:val="00F8203C"/>
    <w:rsid w:val="00F85354"/>
    <w:rsid w:val="00F8545A"/>
    <w:rsid w:val="00F85470"/>
    <w:rsid w:val="00F968A9"/>
    <w:rsid w:val="00FA1855"/>
    <w:rsid w:val="00FA4223"/>
    <w:rsid w:val="00FA442D"/>
    <w:rsid w:val="00FA7D20"/>
    <w:rsid w:val="00FB12FB"/>
    <w:rsid w:val="00FB3C62"/>
    <w:rsid w:val="00FB4606"/>
    <w:rsid w:val="00FC349C"/>
    <w:rsid w:val="00FD21B6"/>
    <w:rsid w:val="00FD2747"/>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71F6-85BF-492A-BEFF-63C67C81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47554</Words>
  <Characters>27107</Characters>
  <Application>Microsoft Office Word</Application>
  <DocSecurity>0</DocSecurity>
  <Lines>225</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Audronė Vaitekūnienė | VMU</cp:lastModifiedBy>
  <cp:revision>6</cp:revision>
  <dcterms:created xsi:type="dcterms:W3CDTF">2020-05-28T06:03:00Z</dcterms:created>
  <dcterms:modified xsi:type="dcterms:W3CDTF">2020-07-29T12:02:00Z</dcterms:modified>
</cp:coreProperties>
</file>