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85EE2" w14:textId="77777777" w:rsidR="00CC6CC6" w:rsidRDefault="00CC6CC6" w:rsidP="00CC6CC6">
      <w:pPr>
        <w:ind w:left="11664"/>
        <w:rPr>
          <w:b/>
          <w:sz w:val="26"/>
          <w:szCs w:val="26"/>
        </w:rPr>
      </w:pPr>
      <w:r>
        <w:t>A</w:t>
      </w:r>
      <w:r w:rsidRPr="00C30988">
        <w:t>tviro konkurso</w:t>
      </w:r>
    </w:p>
    <w:p w14:paraId="007CE510" w14:textId="77777777" w:rsidR="00CC6CC6" w:rsidRPr="005012D3" w:rsidRDefault="00CC6CC6" w:rsidP="00CC6CC6">
      <w:pPr>
        <w:ind w:left="10368" w:firstLine="1296"/>
        <w:rPr>
          <w:bCs/>
          <w:sz w:val="26"/>
          <w:szCs w:val="26"/>
        </w:rPr>
      </w:pPr>
      <w:r w:rsidRPr="005012D3">
        <w:rPr>
          <w:bCs/>
          <w:sz w:val="26"/>
          <w:szCs w:val="26"/>
        </w:rPr>
        <w:t>Priedas Nr. 2</w:t>
      </w:r>
    </w:p>
    <w:p w14:paraId="526C4BF0" w14:textId="77777777" w:rsidR="00CC6CC6" w:rsidRPr="004D6F0D" w:rsidRDefault="00CC6CC6" w:rsidP="00CC6CC6">
      <w:pPr>
        <w:tabs>
          <w:tab w:val="left" w:pos="5670"/>
          <w:tab w:val="left" w:pos="5812"/>
        </w:tabs>
        <w:ind w:hanging="57"/>
        <w:jc w:val="right"/>
        <w:rPr>
          <w:sz w:val="26"/>
          <w:szCs w:val="26"/>
        </w:rPr>
      </w:pPr>
    </w:p>
    <w:p w14:paraId="1FAA07B7" w14:textId="77777777" w:rsidR="00CC6CC6" w:rsidRPr="004D6F0D" w:rsidRDefault="00CC6CC6" w:rsidP="00CC6CC6">
      <w:pPr>
        <w:tabs>
          <w:tab w:val="left" w:pos="5670"/>
          <w:tab w:val="left" w:pos="5812"/>
        </w:tabs>
        <w:ind w:hanging="57"/>
        <w:jc w:val="center"/>
        <w:rPr>
          <w:b/>
          <w:sz w:val="26"/>
          <w:szCs w:val="26"/>
        </w:rPr>
      </w:pPr>
      <w:r w:rsidRPr="004D6F0D">
        <w:rPr>
          <w:b/>
          <w:sz w:val="26"/>
          <w:szCs w:val="26"/>
        </w:rPr>
        <w:t>Intraokuliniai lęšiukai ir jų priedai</w:t>
      </w:r>
    </w:p>
    <w:p w14:paraId="58F6A808" w14:textId="77777777" w:rsidR="00CC6CC6" w:rsidRDefault="00CC6CC6" w:rsidP="00CC6CC6">
      <w:pPr>
        <w:tabs>
          <w:tab w:val="left" w:pos="5670"/>
          <w:tab w:val="left" w:pos="5812"/>
        </w:tabs>
        <w:ind w:hanging="57"/>
        <w:jc w:val="center"/>
      </w:pPr>
    </w:p>
    <w:tbl>
      <w:tblPr>
        <w:tblW w:w="157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52"/>
        <w:gridCol w:w="5953"/>
        <w:gridCol w:w="851"/>
        <w:gridCol w:w="3118"/>
        <w:gridCol w:w="823"/>
        <w:gridCol w:w="736"/>
        <w:gridCol w:w="965"/>
        <w:gridCol w:w="1162"/>
      </w:tblGrid>
      <w:tr w:rsidR="00CC6CC6" w:rsidRPr="00621AD1" w14:paraId="29BB6916" w14:textId="77777777" w:rsidTr="000F4B04">
        <w:tc>
          <w:tcPr>
            <w:tcW w:w="704" w:type="dxa"/>
            <w:shd w:val="clear" w:color="auto" w:fill="auto"/>
          </w:tcPr>
          <w:p w14:paraId="09992FB9" w14:textId="77777777" w:rsidR="00CC6CC6" w:rsidRPr="00621AD1" w:rsidRDefault="00CC6CC6" w:rsidP="00B54D9E">
            <w:pPr>
              <w:jc w:val="center"/>
              <w:rPr>
                <w:sz w:val="20"/>
                <w:szCs w:val="20"/>
              </w:rPr>
            </w:pPr>
            <w:r w:rsidRPr="00621AD1">
              <w:rPr>
                <w:sz w:val="20"/>
                <w:szCs w:val="20"/>
              </w:rPr>
              <w:t>Eil. Nr.</w:t>
            </w:r>
          </w:p>
        </w:tc>
        <w:tc>
          <w:tcPr>
            <w:tcW w:w="1452" w:type="dxa"/>
            <w:shd w:val="clear" w:color="auto" w:fill="auto"/>
          </w:tcPr>
          <w:p w14:paraId="54C88680" w14:textId="77777777" w:rsidR="00CC6CC6" w:rsidRPr="00621AD1" w:rsidRDefault="00CC6CC6" w:rsidP="00B54D9E">
            <w:pPr>
              <w:jc w:val="center"/>
              <w:rPr>
                <w:sz w:val="20"/>
                <w:szCs w:val="20"/>
              </w:rPr>
            </w:pPr>
            <w:r w:rsidRPr="00621AD1">
              <w:rPr>
                <w:sz w:val="20"/>
                <w:szCs w:val="20"/>
              </w:rPr>
              <w:t>Pavadinimas</w:t>
            </w:r>
          </w:p>
        </w:tc>
        <w:tc>
          <w:tcPr>
            <w:tcW w:w="5953" w:type="dxa"/>
            <w:shd w:val="clear" w:color="auto" w:fill="auto"/>
          </w:tcPr>
          <w:p w14:paraId="2BDCC27B" w14:textId="77777777" w:rsidR="00CC6CC6" w:rsidRPr="00621AD1" w:rsidRDefault="00CC6CC6" w:rsidP="00B54D9E">
            <w:pPr>
              <w:jc w:val="center"/>
              <w:rPr>
                <w:sz w:val="20"/>
                <w:szCs w:val="20"/>
              </w:rPr>
            </w:pPr>
            <w:r w:rsidRPr="00621AD1">
              <w:rPr>
                <w:sz w:val="20"/>
                <w:szCs w:val="20"/>
              </w:rPr>
              <w:t>Aprašymas</w:t>
            </w:r>
          </w:p>
        </w:tc>
        <w:tc>
          <w:tcPr>
            <w:tcW w:w="851" w:type="dxa"/>
            <w:shd w:val="clear" w:color="auto" w:fill="auto"/>
          </w:tcPr>
          <w:p w14:paraId="4F1DA453" w14:textId="77777777" w:rsidR="00CC6CC6" w:rsidRPr="00621AD1" w:rsidRDefault="00CC6CC6" w:rsidP="00B54D9E">
            <w:pPr>
              <w:jc w:val="center"/>
              <w:rPr>
                <w:sz w:val="20"/>
                <w:szCs w:val="20"/>
              </w:rPr>
            </w:pPr>
            <w:r w:rsidRPr="00621AD1">
              <w:rPr>
                <w:sz w:val="20"/>
                <w:szCs w:val="20"/>
              </w:rPr>
              <w:t>Orientacinis perkamas kiekis</w:t>
            </w:r>
          </w:p>
        </w:tc>
        <w:tc>
          <w:tcPr>
            <w:tcW w:w="3118" w:type="dxa"/>
            <w:shd w:val="clear" w:color="auto" w:fill="auto"/>
          </w:tcPr>
          <w:p w14:paraId="3F35F478" w14:textId="77777777" w:rsidR="00CC6CC6" w:rsidRPr="00621AD1" w:rsidRDefault="00CC6CC6" w:rsidP="00B54D9E">
            <w:pPr>
              <w:jc w:val="both"/>
              <w:rPr>
                <w:sz w:val="20"/>
                <w:szCs w:val="20"/>
              </w:rPr>
            </w:pPr>
            <w:r w:rsidRPr="00621AD1">
              <w:rPr>
                <w:sz w:val="20"/>
                <w:szCs w:val="20"/>
              </w:rPr>
              <w:t>Siūlomo parametro atitikimas, konkreti parametro reikšmė ir atitikimo patvirtinimas (psl. pasiūlyme, puslapyje pabraukiant kiekvienos pozicijos kiekvieną atitikimą, nurodant pozicijos numerį pagal prašomas specifikacijas)</w:t>
            </w:r>
          </w:p>
        </w:tc>
        <w:tc>
          <w:tcPr>
            <w:tcW w:w="823" w:type="dxa"/>
            <w:shd w:val="clear" w:color="auto" w:fill="auto"/>
          </w:tcPr>
          <w:p w14:paraId="13F08427" w14:textId="77777777" w:rsidR="00CC6CC6" w:rsidRPr="00621AD1" w:rsidRDefault="00CC6CC6" w:rsidP="00B54D9E">
            <w:pPr>
              <w:jc w:val="center"/>
              <w:rPr>
                <w:sz w:val="20"/>
                <w:szCs w:val="20"/>
              </w:rPr>
            </w:pPr>
            <w:r w:rsidRPr="00621AD1">
              <w:rPr>
                <w:sz w:val="20"/>
                <w:szCs w:val="20"/>
              </w:rPr>
              <w:t xml:space="preserve">PVM tarifas </w:t>
            </w:r>
            <w:r w:rsidRPr="00621AD1">
              <w:rPr>
                <w:sz w:val="20"/>
                <w:szCs w:val="20"/>
              </w:rPr>
              <w:sym w:font="Symbol" w:char="F025"/>
            </w:r>
          </w:p>
        </w:tc>
        <w:tc>
          <w:tcPr>
            <w:tcW w:w="736" w:type="dxa"/>
            <w:shd w:val="clear" w:color="auto" w:fill="auto"/>
          </w:tcPr>
          <w:p w14:paraId="0D0A7682" w14:textId="77777777" w:rsidR="00CC6CC6" w:rsidRPr="00621AD1" w:rsidRDefault="00CC6CC6" w:rsidP="00B54D9E">
            <w:pPr>
              <w:jc w:val="center"/>
              <w:rPr>
                <w:sz w:val="20"/>
                <w:szCs w:val="20"/>
              </w:rPr>
            </w:pPr>
            <w:r w:rsidRPr="00621AD1">
              <w:rPr>
                <w:sz w:val="20"/>
                <w:szCs w:val="20"/>
              </w:rPr>
              <w:t>Vnt. kaina EUR su PVM</w:t>
            </w:r>
          </w:p>
        </w:tc>
        <w:tc>
          <w:tcPr>
            <w:tcW w:w="965" w:type="dxa"/>
            <w:shd w:val="clear" w:color="auto" w:fill="auto"/>
          </w:tcPr>
          <w:p w14:paraId="6570FE64" w14:textId="77777777" w:rsidR="00CC6CC6" w:rsidRPr="00621AD1" w:rsidRDefault="00CC6CC6" w:rsidP="00B54D9E">
            <w:pPr>
              <w:jc w:val="center"/>
              <w:rPr>
                <w:sz w:val="20"/>
                <w:szCs w:val="20"/>
              </w:rPr>
            </w:pPr>
            <w:r w:rsidRPr="00621AD1">
              <w:rPr>
                <w:sz w:val="20"/>
                <w:szCs w:val="20"/>
              </w:rPr>
              <w:t>Viso kaina EUR su PVM</w:t>
            </w:r>
          </w:p>
        </w:tc>
        <w:tc>
          <w:tcPr>
            <w:tcW w:w="1162" w:type="dxa"/>
            <w:shd w:val="clear" w:color="auto" w:fill="auto"/>
          </w:tcPr>
          <w:p w14:paraId="3ADC1FC4" w14:textId="77777777" w:rsidR="00CC6CC6" w:rsidRPr="00621AD1" w:rsidRDefault="00CC6CC6" w:rsidP="00B54D9E">
            <w:pPr>
              <w:jc w:val="center"/>
              <w:rPr>
                <w:sz w:val="20"/>
                <w:szCs w:val="20"/>
              </w:rPr>
            </w:pPr>
            <w:r w:rsidRPr="00621AD1">
              <w:rPr>
                <w:sz w:val="20"/>
                <w:szCs w:val="20"/>
              </w:rPr>
              <w:t>Gamintojas</w:t>
            </w:r>
          </w:p>
        </w:tc>
      </w:tr>
      <w:tr w:rsidR="00CC6CC6" w:rsidRPr="00621AD1" w14:paraId="5C3E3F97" w14:textId="77777777" w:rsidTr="000F4B04">
        <w:tc>
          <w:tcPr>
            <w:tcW w:w="704" w:type="dxa"/>
            <w:shd w:val="clear" w:color="auto" w:fill="auto"/>
          </w:tcPr>
          <w:p w14:paraId="15BB4464" w14:textId="77777777" w:rsidR="00CC6CC6" w:rsidRPr="00621AD1" w:rsidRDefault="00CC6CC6" w:rsidP="00B54D9E">
            <w:pPr>
              <w:jc w:val="center"/>
              <w:rPr>
                <w:sz w:val="20"/>
                <w:szCs w:val="20"/>
              </w:rPr>
            </w:pPr>
          </w:p>
        </w:tc>
        <w:tc>
          <w:tcPr>
            <w:tcW w:w="1452" w:type="dxa"/>
            <w:shd w:val="clear" w:color="auto" w:fill="auto"/>
          </w:tcPr>
          <w:p w14:paraId="4C3B6A2C" w14:textId="77777777" w:rsidR="00CC6CC6" w:rsidRPr="00621AD1" w:rsidRDefault="00CC6CC6" w:rsidP="00B54D9E">
            <w:pPr>
              <w:jc w:val="center"/>
              <w:rPr>
                <w:sz w:val="20"/>
                <w:szCs w:val="20"/>
              </w:rPr>
            </w:pPr>
          </w:p>
        </w:tc>
        <w:tc>
          <w:tcPr>
            <w:tcW w:w="5953" w:type="dxa"/>
            <w:shd w:val="clear" w:color="auto" w:fill="auto"/>
          </w:tcPr>
          <w:p w14:paraId="1E64FC84" w14:textId="77777777" w:rsidR="00CC6CC6" w:rsidRPr="007C2D01" w:rsidRDefault="00CC6CC6" w:rsidP="00B54D9E">
            <w:pPr>
              <w:pStyle w:val="ListParagraph1"/>
              <w:ind w:left="0"/>
              <w:rPr>
                <w:b/>
                <w:bCs/>
                <w:i/>
                <w:iCs/>
                <w:sz w:val="20"/>
                <w:lang w:val="lt-LT"/>
              </w:rPr>
            </w:pPr>
            <w:r w:rsidRPr="007C2D01">
              <w:rPr>
                <w:b/>
                <w:bCs/>
                <w:i/>
                <w:iCs/>
                <w:sz w:val="20"/>
                <w:lang w:val="lt-LT"/>
              </w:rPr>
              <w:t>Reikalavimai:</w:t>
            </w:r>
          </w:p>
          <w:p w14:paraId="23382853" w14:textId="77777777" w:rsidR="00CC6CC6" w:rsidRPr="005E44EC" w:rsidRDefault="00CC6CC6" w:rsidP="00CC6CC6">
            <w:pPr>
              <w:pStyle w:val="ListParagraph1"/>
              <w:numPr>
                <w:ilvl w:val="0"/>
                <w:numId w:val="1"/>
              </w:numPr>
              <w:rPr>
                <w:sz w:val="20"/>
              </w:rPr>
            </w:pPr>
            <w:r w:rsidRPr="005E44EC">
              <w:rPr>
                <w:sz w:val="20"/>
              </w:rPr>
              <w:t>Intraokuliniai lęšiai turi būti be rotacinių skylučių optinėje dalyje ir turi būti su UV spindulius sulaikančiu filtru.</w:t>
            </w:r>
          </w:p>
          <w:p w14:paraId="3C6FBFDC" w14:textId="77777777" w:rsidR="00CC6CC6" w:rsidRPr="005E44EC" w:rsidRDefault="00CC6CC6" w:rsidP="00CC6CC6">
            <w:pPr>
              <w:pStyle w:val="ListParagraph1"/>
              <w:numPr>
                <w:ilvl w:val="0"/>
                <w:numId w:val="1"/>
              </w:numPr>
              <w:rPr>
                <w:sz w:val="20"/>
              </w:rPr>
            </w:pPr>
            <w:r w:rsidRPr="005E44EC">
              <w:rPr>
                <w:sz w:val="20"/>
              </w:rPr>
              <w:t>Siūlomi intraokuliniai lęšiai turi būti pažymėti CE ženklu ir privaloma kartu su pasiūlymu pateikti CE sertifikatą ir FDA arba EB atitikties deklaracijų kopijas.</w:t>
            </w:r>
          </w:p>
          <w:p w14:paraId="26202E3E" w14:textId="77777777" w:rsidR="00CC6CC6" w:rsidRPr="005E44EC" w:rsidRDefault="00CC6CC6" w:rsidP="00CC6CC6">
            <w:pPr>
              <w:pStyle w:val="ListParagraph1"/>
              <w:numPr>
                <w:ilvl w:val="0"/>
                <w:numId w:val="1"/>
              </w:numPr>
              <w:rPr>
                <w:sz w:val="20"/>
              </w:rPr>
            </w:pPr>
            <w:r w:rsidRPr="005E44EC">
              <w:rPr>
                <w:sz w:val="20"/>
              </w:rPr>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p>
          <w:p w14:paraId="3B9AD9C3" w14:textId="77777777" w:rsidR="00CC6CC6" w:rsidRPr="005E44EC" w:rsidRDefault="00CC6CC6" w:rsidP="00CC6CC6">
            <w:pPr>
              <w:pStyle w:val="ListParagraph1"/>
              <w:numPr>
                <w:ilvl w:val="0"/>
                <w:numId w:val="1"/>
              </w:numPr>
              <w:rPr>
                <w:sz w:val="20"/>
              </w:rPr>
            </w:pPr>
            <w:r w:rsidRPr="005E44EC">
              <w:rPr>
                <w:sz w:val="20"/>
              </w:rPr>
              <w:t xml:space="preserve">Nepriklausomai nuo intraokulinių lęšių dydžių, visose pirkimo dalyse siūlomų lęšiukų 1 vnt. kaina turi būti vienoda. Dydžių kiekiai nustatomi darant užsakymą. Reikalingas IOL kiekis, nurodant dydžius, užsakomas </w:t>
            </w:r>
            <w:r w:rsidRPr="005E44EC">
              <w:rPr>
                <w:sz w:val="20"/>
                <w:lang w:val="lt-LT"/>
              </w:rPr>
              <w:t>pagal poreikį.</w:t>
            </w:r>
          </w:p>
          <w:p w14:paraId="3EA0F47E" w14:textId="77777777" w:rsidR="00CC6CC6" w:rsidRPr="005E44EC" w:rsidRDefault="00CC6CC6" w:rsidP="00CC6CC6">
            <w:pPr>
              <w:pStyle w:val="ListParagraph1"/>
              <w:numPr>
                <w:ilvl w:val="0"/>
                <w:numId w:val="1"/>
              </w:numPr>
              <w:rPr>
                <w:sz w:val="20"/>
              </w:rPr>
            </w:pPr>
            <w:r w:rsidRPr="005E44EC">
              <w:rPr>
                <w:color w:val="000000"/>
                <w:sz w:val="20"/>
                <w:lang w:val="lt-LT"/>
              </w:rPr>
              <w:t>Visi (visų dioptrijų) vienai konkurso daliai siūlomi IOL turi būti vienodi ir to paties gamintojo</w:t>
            </w:r>
            <w:r w:rsidRPr="005E44EC">
              <w:rPr>
                <w:sz w:val="20"/>
              </w:rPr>
              <w:t>.</w:t>
            </w:r>
            <w:r>
              <w:rPr>
                <w:sz w:val="20"/>
                <w:lang w:val="lt-LT"/>
              </w:rPr>
              <w:t xml:space="preserve"> Visų dydžių kapsulės tempimo žiedai turi būti to paties gamintojo.</w:t>
            </w:r>
          </w:p>
          <w:p w14:paraId="3FD059C5" w14:textId="77777777" w:rsidR="00CC6CC6" w:rsidRPr="005E44EC" w:rsidRDefault="00CC6CC6" w:rsidP="00CC6CC6">
            <w:pPr>
              <w:pStyle w:val="ListParagraph1"/>
              <w:numPr>
                <w:ilvl w:val="0"/>
                <w:numId w:val="1"/>
              </w:numPr>
              <w:rPr>
                <w:b/>
                <w:sz w:val="20"/>
              </w:rPr>
            </w:pPr>
            <w:r w:rsidRPr="005E44EC">
              <w:rPr>
                <w:b/>
                <w:sz w:val="20"/>
              </w:rPr>
              <w:t xml:space="preserve">Tiekėjai su konkurso pasiūlymu </w:t>
            </w:r>
            <w:r w:rsidRPr="005E44EC">
              <w:rPr>
                <w:b/>
                <w:color w:val="000000"/>
                <w:sz w:val="20"/>
                <w:lang w:val="lt-LT"/>
              </w:rPr>
              <w:t>1 daliai  turi pateikti dažniausiai naudojamų dydžių (20-</w:t>
            </w:r>
            <w:r>
              <w:rPr>
                <w:b/>
                <w:color w:val="000000"/>
                <w:sz w:val="20"/>
                <w:lang w:val="lt-LT"/>
              </w:rPr>
              <w:t>21-</w:t>
            </w:r>
            <w:r w:rsidRPr="005E44EC">
              <w:rPr>
                <w:b/>
                <w:color w:val="000000"/>
                <w:sz w:val="20"/>
                <w:lang w:val="lt-LT"/>
              </w:rPr>
              <w:t xml:space="preserve">22 D) </w:t>
            </w:r>
            <w:r>
              <w:rPr>
                <w:b/>
                <w:color w:val="000000"/>
                <w:sz w:val="20"/>
                <w:lang w:val="lt-LT"/>
              </w:rPr>
              <w:t>3</w:t>
            </w:r>
            <w:r w:rsidRPr="005E44EC">
              <w:rPr>
                <w:b/>
                <w:color w:val="000000"/>
                <w:sz w:val="20"/>
                <w:lang w:val="lt-LT"/>
              </w:rPr>
              <w:t xml:space="preserve"> vnt., 2 daliai </w:t>
            </w:r>
            <w:r>
              <w:rPr>
                <w:b/>
                <w:color w:val="000000"/>
                <w:sz w:val="20"/>
                <w:lang w:val="lt-LT"/>
              </w:rPr>
              <w:t>1</w:t>
            </w:r>
            <w:r w:rsidRPr="005E44EC">
              <w:rPr>
                <w:b/>
                <w:color w:val="000000"/>
                <w:sz w:val="20"/>
                <w:lang w:val="lt-LT"/>
              </w:rPr>
              <w:t xml:space="preserve"> vnt. </w:t>
            </w:r>
            <w:r>
              <w:rPr>
                <w:b/>
                <w:color w:val="000000"/>
                <w:sz w:val="20"/>
                <w:lang w:val="lt-LT"/>
              </w:rPr>
              <w:t xml:space="preserve">(21 D) </w:t>
            </w:r>
            <w:r w:rsidRPr="005E44EC">
              <w:rPr>
                <w:b/>
                <w:color w:val="000000"/>
                <w:sz w:val="20"/>
                <w:lang w:val="lt-LT"/>
              </w:rPr>
              <w:t xml:space="preserve">užpakalinės kameros sulankstomų lęšių pavyzdžių, 3 daliai </w:t>
            </w:r>
            <w:r>
              <w:rPr>
                <w:b/>
                <w:color w:val="000000"/>
                <w:sz w:val="20"/>
                <w:lang w:val="lt-LT"/>
              </w:rPr>
              <w:t>1</w:t>
            </w:r>
            <w:r w:rsidRPr="005E44EC">
              <w:rPr>
                <w:b/>
                <w:color w:val="000000"/>
                <w:sz w:val="20"/>
                <w:lang w:val="lt-LT"/>
              </w:rPr>
              <w:t xml:space="preserve"> vnt. (19 D) priekinės kameros IOL pavyzdžių. Pavyzdžiai tiekėjui negrąžinami</w:t>
            </w:r>
            <w:r w:rsidRPr="005E44EC">
              <w:rPr>
                <w:b/>
                <w:sz w:val="20"/>
              </w:rPr>
              <w:t>.</w:t>
            </w:r>
          </w:p>
          <w:p w14:paraId="3710A5CC" w14:textId="77777777" w:rsidR="00CC6CC6" w:rsidRPr="005E44EC" w:rsidRDefault="00CC6CC6" w:rsidP="00CC6CC6">
            <w:pPr>
              <w:pStyle w:val="ListParagraph1"/>
              <w:numPr>
                <w:ilvl w:val="0"/>
                <w:numId w:val="1"/>
              </w:numPr>
              <w:rPr>
                <w:sz w:val="20"/>
              </w:rPr>
            </w:pPr>
            <w:r w:rsidRPr="005E44EC">
              <w:rPr>
                <w:sz w:val="20"/>
              </w:rPr>
              <w:t>Bus vertinama tik tiekėjo pasiūlyta ir gamintojo originaliame kataloge nurodyta produkcija (nurodant prekių kodus).</w:t>
            </w:r>
          </w:p>
          <w:p w14:paraId="14B544AD" w14:textId="77777777" w:rsidR="00CC6CC6" w:rsidRPr="005E44EC" w:rsidRDefault="00CC6CC6" w:rsidP="00CC6CC6">
            <w:pPr>
              <w:pStyle w:val="ListParagraph1"/>
              <w:numPr>
                <w:ilvl w:val="0"/>
                <w:numId w:val="1"/>
              </w:numPr>
              <w:rPr>
                <w:sz w:val="20"/>
              </w:rPr>
            </w:pPr>
            <w:r w:rsidRPr="005E44EC">
              <w:rPr>
                <w:sz w:val="20"/>
              </w:rPr>
              <w:t>Tiekėjo pasiūlymai su gamintojo įsipareigojimu pagaminti priemones pagal poreikį nebus priimami ir nebus vertinami.</w:t>
            </w:r>
          </w:p>
          <w:p w14:paraId="091851DB" w14:textId="77777777" w:rsidR="00CC6CC6" w:rsidRPr="005E44EC" w:rsidRDefault="00CC6CC6" w:rsidP="00CC6CC6">
            <w:pPr>
              <w:pStyle w:val="ListParagraph1"/>
              <w:numPr>
                <w:ilvl w:val="0"/>
                <w:numId w:val="1"/>
              </w:numPr>
              <w:rPr>
                <w:sz w:val="20"/>
              </w:rPr>
            </w:pPr>
            <w:r w:rsidRPr="005E44EC">
              <w:rPr>
                <w:sz w:val="20"/>
              </w:rPr>
              <w:lastRenderedPageBreak/>
              <w:t>Intraokulinių lęšių pristatymas į gydymo įstaigas užtikrinamas per 10</w:t>
            </w:r>
            <w:r>
              <w:rPr>
                <w:sz w:val="20"/>
                <w:lang w:val="lt-LT"/>
              </w:rPr>
              <w:t xml:space="preserve"> darbo </w:t>
            </w:r>
            <w:r w:rsidRPr="005E44EC">
              <w:rPr>
                <w:sz w:val="20"/>
              </w:rPr>
              <w:t>d</w:t>
            </w:r>
            <w:r>
              <w:rPr>
                <w:sz w:val="20"/>
                <w:lang w:val="lt-LT"/>
              </w:rPr>
              <w:t>ienų</w:t>
            </w:r>
            <w:r w:rsidRPr="005E44EC">
              <w:rPr>
                <w:sz w:val="20"/>
              </w:rPr>
              <w:t xml:space="preserve"> nuo užsakymo.</w:t>
            </w:r>
          </w:p>
          <w:p w14:paraId="0508EA19" w14:textId="77777777" w:rsidR="00CC6CC6" w:rsidRPr="005E44EC" w:rsidRDefault="00CC6CC6" w:rsidP="00CC6CC6">
            <w:pPr>
              <w:pStyle w:val="ListParagraph1"/>
              <w:numPr>
                <w:ilvl w:val="0"/>
                <w:numId w:val="1"/>
              </w:numPr>
              <w:rPr>
                <w:sz w:val="20"/>
              </w:rPr>
            </w:pPr>
            <w:r w:rsidRPr="005E44EC">
              <w:rPr>
                <w:sz w:val="20"/>
              </w:rPr>
              <w:t>Intraokulinių lęšių</w:t>
            </w:r>
            <w:r>
              <w:rPr>
                <w:sz w:val="20"/>
                <w:lang w:val="lt-LT"/>
              </w:rPr>
              <w:t>, kapsulės tempimo žiedų ir implantavimo kasečių</w:t>
            </w:r>
            <w:r w:rsidRPr="005E44EC">
              <w:rPr>
                <w:sz w:val="20"/>
              </w:rPr>
              <w:t xml:space="preserve"> galiojimo laikas turi būti ne trumpesnis nei 2 metai nuo prekių pateikimo.</w:t>
            </w:r>
          </w:p>
        </w:tc>
        <w:tc>
          <w:tcPr>
            <w:tcW w:w="851" w:type="dxa"/>
            <w:shd w:val="clear" w:color="auto" w:fill="auto"/>
          </w:tcPr>
          <w:p w14:paraId="420962A6" w14:textId="77777777" w:rsidR="00CC6CC6" w:rsidRPr="00621AD1" w:rsidRDefault="00CC6CC6" w:rsidP="00B54D9E">
            <w:pPr>
              <w:jc w:val="center"/>
              <w:rPr>
                <w:sz w:val="20"/>
                <w:szCs w:val="20"/>
              </w:rPr>
            </w:pPr>
          </w:p>
        </w:tc>
        <w:tc>
          <w:tcPr>
            <w:tcW w:w="3118" w:type="dxa"/>
            <w:shd w:val="clear" w:color="auto" w:fill="auto"/>
          </w:tcPr>
          <w:p w14:paraId="7D1A6287" w14:textId="77777777" w:rsidR="00CC6CC6" w:rsidRPr="00621AD1" w:rsidRDefault="00CC6CC6" w:rsidP="00B54D9E">
            <w:pPr>
              <w:jc w:val="both"/>
              <w:rPr>
                <w:sz w:val="20"/>
                <w:szCs w:val="20"/>
              </w:rPr>
            </w:pPr>
          </w:p>
        </w:tc>
        <w:tc>
          <w:tcPr>
            <w:tcW w:w="823" w:type="dxa"/>
            <w:shd w:val="clear" w:color="auto" w:fill="auto"/>
          </w:tcPr>
          <w:p w14:paraId="7842C848" w14:textId="77777777" w:rsidR="00CC6CC6" w:rsidRPr="00621AD1" w:rsidRDefault="00CC6CC6" w:rsidP="00B54D9E">
            <w:pPr>
              <w:jc w:val="center"/>
              <w:rPr>
                <w:sz w:val="20"/>
                <w:szCs w:val="20"/>
              </w:rPr>
            </w:pPr>
          </w:p>
        </w:tc>
        <w:tc>
          <w:tcPr>
            <w:tcW w:w="736" w:type="dxa"/>
            <w:shd w:val="clear" w:color="auto" w:fill="auto"/>
          </w:tcPr>
          <w:p w14:paraId="350A5A15" w14:textId="77777777" w:rsidR="00CC6CC6" w:rsidRPr="00621AD1" w:rsidRDefault="00CC6CC6" w:rsidP="00B54D9E">
            <w:pPr>
              <w:jc w:val="center"/>
              <w:rPr>
                <w:sz w:val="20"/>
                <w:szCs w:val="20"/>
              </w:rPr>
            </w:pPr>
          </w:p>
        </w:tc>
        <w:tc>
          <w:tcPr>
            <w:tcW w:w="965" w:type="dxa"/>
            <w:shd w:val="clear" w:color="auto" w:fill="auto"/>
          </w:tcPr>
          <w:p w14:paraId="692EAF11" w14:textId="77777777" w:rsidR="00CC6CC6" w:rsidRPr="00621AD1" w:rsidRDefault="00CC6CC6" w:rsidP="00B54D9E">
            <w:pPr>
              <w:jc w:val="center"/>
              <w:rPr>
                <w:sz w:val="20"/>
                <w:szCs w:val="20"/>
              </w:rPr>
            </w:pPr>
          </w:p>
        </w:tc>
        <w:tc>
          <w:tcPr>
            <w:tcW w:w="1162" w:type="dxa"/>
            <w:shd w:val="clear" w:color="auto" w:fill="auto"/>
          </w:tcPr>
          <w:p w14:paraId="3EFF1E68" w14:textId="77777777" w:rsidR="00CC6CC6" w:rsidRPr="00621AD1" w:rsidRDefault="00CC6CC6" w:rsidP="00B54D9E">
            <w:pPr>
              <w:jc w:val="center"/>
              <w:rPr>
                <w:sz w:val="20"/>
                <w:szCs w:val="20"/>
              </w:rPr>
            </w:pPr>
          </w:p>
        </w:tc>
      </w:tr>
      <w:tr w:rsidR="00FD2108" w:rsidRPr="00621AD1" w14:paraId="68CE6C4A" w14:textId="77777777" w:rsidTr="000F4B04">
        <w:tc>
          <w:tcPr>
            <w:tcW w:w="704" w:type="dxa"/>
            <w:shd w:val="clear" w:color="auto" w:fill="auto"/>
          </w:tcPr>
          <w:p w14:paraId="43DB2EF4" w14:textId="77777777" w:rsidR="00FD2108" w:rsidRPr="00DD1F6A" w:rsidRDefault="00FD2108" w:rsidP="00FD2108">
            <w:pPr>
              <w:jc w:val="center"/>
              <w:rPr>
                <w:b/>
                <w:sz w:val="20"/>
                <w:szCs w:val="20"/>
              </w:rPr>
            </w:pPr>
            <w:r w:rsidRPr="00DD1F6A">
              <w:rPr>
                <w:b/>
                <w:sz w:val="20"/>
                <w:szCs w:val="20"/>
              </w:rPr>
              <w:t>3</w:t>
            </w:r>
          </w:p>
        </w:tc>
        <w:tc>
          <w:tcPr>
            <w:tcW w:w="1452" w:type="dxa"/>
            <w:shd w:val="clear" w:color="auto" w:fill="auto"/>
          </w:tcPr>
          <w:p w14:paraId="4AA52A25" w14:textId="77777777" w:rsidR="00FD2108" w:rsidRPr="00DD1F6A" w:rsidRDefault="00FD2108" w:rsidP="00FD2108">
            <w:pPr>
              <w:rPr>
                <w:b/>
                <w:color w:val="000000"/>
                <w:sz w:val="20"/>
                <w:szCs w:val="20"/>
              </w:rPr>
            </w:pPr>
            <w:r w:rsidRPr="00DD1F6A">
              <w:rPr>
                <w:b/>
                <w:color w:val="000000"/>
                <w:sz w:val="20"/>
                <w:szCs w:val="20"/>
              </w:rPr>
              <w:t>Priekinės kameros nesulankstomi intraokuliniai lęšiukai</w:t>
            </w:r>
          </w:p>
        </w:tc>
        <w:tc>
          <w:tcPr>
            <w:tcW w:w="5953" w:type="dxa"/>
            <w:shd w:val="clear" w:color="auto" w:fill="auto"/>
          </w:tcPr>
          <w:p w14:paraId="3D4EAFAC" w14:textId="77777777" w:rsidR="00FD2108" w:rsidRPr="00DD1F6A" w:rsidRDefault="00FD2108" w:rsidP="00FD2108">
            <w:pPr>
              <w:pStyle w:val="Bodytext50"/>
              <w:tabs>
                <w:tab w:val="left" w:pos="287"/>
              </w:tabs>
              <w:spacing w:line="240" w:lineRule="auto"/>
              <w:ind w:left="89"/>
              <w:contextualSpacing/>
              <w:rPr>
                <w:rFonts w:ascii="Times New Roman" w:hAnsi="Times New Roman"/>
                <w:color w:val="000000"/>
                <w:sz w:val="20"/>
                <w:szCs w:val="20"/>
              </w:rPr>
            </w:pPr>
            <w:r w:rsidRPr="00DD1F6A">
              <w:rPr>
                <w:rFonts w:ascii="Times New Roman" w:hAnsi="Times New Roman"/>
                <w:color w:val="000000"/>
                <w:sz w:val="20"/>
                <w:szCs w:val="20"/>
              </w:rPr>
              <w:t>1. Medžiaga: polimetilmetakrilatas ar jo dariniai</w:t>
            </w:r>
          </w:p>
          <w:p w14:paraId="0EB63859" w14:textId="77777777" w:rsidR="00FD2108" w:rsidRPr="00DD1F6A" w:rsidRDefault="00FD2108" w:rsidP="00FD2108">
            <w:pPr>
              <w:pStyle w:val="Bodytext50"/>
              <w:tabs>
                <w:tab w:val="left" w:pos="287"/>
              </w:tabs>
              <w:spacing w:line="240" w:lineRule="auto"/>
              <w:ind w:left="89"/>
              <w:contextualSpacing/>
              <w:rPr>
                <w:rFonts w:ascii="Times New Roman" w:hAnsi="Times New Roman"/>
                <w:color w:val="000000"/>
                <w:sz w:val="20"/>
                <w:szCs w:val="20"/>
              </w:rPr>
            </w:pPr>
            <w:r w:rsidRPr="00DD1F6A">
              <w:rPr>
                <w:rFonts w:ascii="Times New Roman" w:hAnsi="Times New Roman"/>
                <w:color w:val="000000"/>
                <w:sz w:val="20"/>
                <w:szCs w:val="20"/>
              </w:rPr>
              <w:t xml:space="preserve">2. Ilgis: </w:t>
            </w:r>
            <w:r>
              <w:rPr>
                <w:rFonts w:ascii="Times New Roman" w:hAnsi="Times New Roman"/>
                <w:color w:val="000000"/>
                <w:sz w:val="20"/>
                <w:szCs w:val="20"/>
              </w:rPr>
              <w:t xml:space="preserve">gali būti </w:t>
            </w:r>
            <w:r w:rsidRPr="00DD1F6A">
              <w:rPr>
                <w:rFonts w:ascii="Times New Roman" w:hAnsi="Times New Roman"/>
                <w:color w:val="000000"/>
                <w:sz w:val="20"/>
                <w:szCs w:val="20"/>
              </w:rPr>
              <w:t>nuo 12,5 iki  13,5 mm</w:t>
            </w:r>
          </w:p>
          <w:p w14:paraId="7F9C6028" w14:textId="77777777" w:rsidR="00FD2108" w:rsidRPr="00DD1F6A" w:rsidRDefault="00FD2108" w:rsidP="00FD2108">
            <w:pPr>
              <w:pStyle w:val="Bodytext50"/>
              <w:tabs>
                <w:tab w:val="left" w:pos="287"/>
              </w:tabs>
              <w:spacing w:line="240" w:lineRule="auto"/>
              <w:ind w:left="89"/>
              <w:contextualSpacing/>
              <w:rPr>
                <w:rFonts w:ascii="Times New Roman" w:hAnsi="Times New Roman"/>
                <w:color w:val="000000"/>
                <w:sz w:val="20"/>
                <w:szCs w:val="20"/>
              </w:rPr>
            </w:pPr>
            <w:r w:rsidRPr="00DD1F6A">
              <w:rPr>
                <w:rFonts w:ascii="Times New Roman" w:hAnsi="Times New Roman"/>
                <w:color w:val="000000"/>
                <w:sz w:val="20"/>
                <w:szCs w:val="20"/>
              </w:rPr>
              <w:t xml:space="preserve">3. Optinės dalies diametras: </w:t>
            </w:r>
            <w:r>
              <w:rPr>
                <w:rFonts w:ascii="Times New Roman" w:hAnsi="Times New Roman"/>
                <w:color w:val="000000"/>
                <w:sz w:val="20"/>
                <w:szCs w:val="20"/>
              </w:rPr>
              <w:t xml:space="preserve">gali būti </w:t>
            </w:r>
            <w:r w:rsidRPr="00DD1F6A">
              <w:rPr>
                <w:rFonts w:ascii="Times New Roman" w:hAnsi="Times New Roman"/>
                <w:color w:val="000000"/>
                <w:sz w:val="20"/>
                <w:szCs w:val="20"/>
              </w:rPr>
              <w:t>nuo 5,5 mm iki 6,0 mm</w:t>
            </w:r>
          </w:p>
          <w:p w14:paraId="2D21D6B8" w14:textId="77777777" w:rsidR="00FD2108" w:rsidRPr="00DD1F6A" w:rsidRDefault="00FD2108" w:rsidP="00FD2108">
            <w:pPr>
              <w:pStyle w:val="Bodytext50"/>
              <w:tabs>
                <w:tab w:val="left" w:pos="287"/>
              </w:tabs>
              <w:spacing w:line="240" w:lineRule="auto"/>
              <w:ind w:left="89"/>
              <w:contextualSpacing/>
              <w:rPr>
                <w:rFonts w:ascii="Times New Roman" w:hAnsi="Times New Roman"/>
                <w:color w:val="000000"/>
                <w:sz w:val="20"/>
                <w:szCs w:val="20"/>
              </w:rPr>
            </w:pPr>
            <w:r w:rsidRPr="00DD1F6A">
              <w:rPr>
                <w:rFonts w:ascii="Times New Roman" w:hAnsi="Times New Roman"/>
                <w:color w:val="000000"/>
                <w:sz w:val="20"/>
                <w:szCs w:val="20"/>
              </w:rPr>
              <w:t>4. Laužiamoji galia: nuo +5 iki +25 dioptrijų</w:t>
            </w:r>
          </w:p>
          <w:p w14:paraId="063711CF" w14:textId="77777777" w:rsidR="00FD2108" w:rsidRPr="00DD1F6A" w:rsidRDefault="00FD2108" w:rsidP="00FD2108">
            <w:pPr>
              <w:pStyle w:val="Bodytext50"/>
              <w:tabs>
                <w:tab w:val="left" w:pos="287"/>
              </w:tabs>
              <w:spacing w:line="240" w:lineRule="auto"/>
              <w:ind w:left="89"/>
              <w:contextualSpacing/>
              <w:rPr>
                <w:rFonts w:ascii="Times New Roman" w:hAnsi="Times New Roman"/>
                <w:color w:val="000000"/>
                <w:sz w:val="20"/>
                <w:szCs w:val="20"/>
              </w:rPr>
            </w:pPr>
            <w:r w:rsidRPr="00DD1F6A">
              <w:rPr>
                <w:rFonts w:ascii="Times New Roman" w:hAnsi="Times New Roman"/>
                <w:color w:val="000000"/>
                <w:sz w:val="20"/>
                <w:szCs w:val="20"/>
              </w:rPr>
              <w:t>5. Atraminiai elementai atviro tipo (angl. open loop) su 4 atraminiais taškais</w:t>
            </w:r>
            <w:r>
              <w:rPr>
                <w:rFonts w:ascii="Times New Roman" w:hAnsi="Times New Roman"/>
                <w:color w:val="000000"/>
                <w:sz w:val="20"/>
                <w:szCs w:val="20"/>
              </w:rPr>
              <w:t>.</w:t>
            </w:r>
          </w:p>
        </w:tc>
        <w:tc>
          <w:tcPr>
            <w:tcW w:w="851" w:type="dxa"/>
            <w:shd w:val="clear" w:color="auto" w:fill="auto"/>
          </w:tcPr>
          <w:p w14:paraId="09B2F830" w14:textId="77777777" w:rsidR="00FD2108" w:rsidRPr="00DD1F6A" w:rsidRDefault="00FD2108" w:rsidP="00FD2108">
            <w:pPr>
              <w:jc w:val="center"/>
              <w:rPr>
                <w:sz w:val="20"/>
                <w:szCs w:val="20"/>
              </w:rPr>
            </w:pPr>
            <w:r w:rsidRPr="00DD1F6A">
              <w:rPr>
                <w:sz w:val="20"/>
                <w:szCs w:val="20"/>
              </w:rPr>
              <w:t>Iki 1</w:t>
            </w:r>
            <w:r>
              <w:rPr>
                <w:sz w:val="20"/>
                <w:szCs w:val="20"/>
              </w:rPr>
              <w:t>0</w:t>
            </w:r>
            <w:r w:rsidRPr="00DD1F6A">
              <w:rPr>
                <w:sz w:val="20"/>
                <w:szCs w:val="20"/>
              </w:rPr>
              <w:t>0 vnt.</w:t>
            </w:r>
          </w:p>
        </w:tc>
        <w:tc>
          <w:tcPr>
            <w:tcW w:w="3118" w:type="dxa"/>
            <w:shd w:val="clear" w:color="auto" w:fill="auto"/>
          </w:tcPr>
          <w:p w14:paraId="78E8C241" w14:textId="5E52C805" w:rsidR="00FD2108" w:rsidRPr="00DD1F6A" w:rsidRDefault="00FD2108" w:rsidP="002D5C88">
            <w:pPr>
              <w:pStyle w:val="Bodytext50"/>
              <w:spacing w:line="240" w:lineRule="auto"/>
              <w:ind w:left="40"/>
              <w:contextualSpacing/>
              <w:rPr>
                <w:rFonts w:ascii="Times New Roman" w:hAnsi="Times New Roman"/>
                <w:color w:val="000000"/>
                <w:sz w:val="20"/>
                <w:szCs w:val="20"/>
              </w:rPr>
            </w:pPr>
            <w:r w:rsidRPr="00DD1F6A">
              <w:rPr>
                <w:rFonts w:ascii="Times New Roman" w:hAnsi="Times New Roman"/>
                <w:color w:val="000000"/>
                <w:sz w:val="20"/>
                <w:szCs w:val="20"/>
              </w:rPr>
              <w:t>1. Medžiaga: polimetilmetakrilatas</w:t>
            </w:r>
            <w:r w:rsidR="002D5C88">
              <w:rPr>
                <w:rFonts w:ascii="Times New Roman" w:hAnsi="Times New Roman"/>
                <w:color w:val="000000"/>
                <w:sz w:val="20"/>
                <w:szCs w:val="20"/>
              </w:rPr>
              <w:t>;</w:t>
            </w:r>
          </w:p>
          <w:p w14:paraId="147122B0" w14:textId="28D05FDA" w:rsidR="00FD2108" w:rsidRPr="00DD1F6A" w:rsidRDefault="00FD2108" w:rsidP="002D5C88">
            <w:pPr>
              <w:pStyle w:val="Bodytext50"/>
              <w:spacing w:line="240" w:lineRule="auto"/>
              <w:ind w:left="40"/>
              <w:contextualSpacing/>
              <w:rPr>
                <w:rFonts w:ascii="Times New Roman" w:hAnsi="Times New Roman"/>
                <w:color w:val="000000"/>
                <w:sz w:val="20"/>
                <w:szCs w:val="20"/>
              </w:rPr>
            </w:pPr>
            <w:r w:rsidRPr="00DD1F6A">
              <w:rPr>
                <w:rFonts w:ascii="Times New Roman" w:hAnsi="Times New Roman"/>
                <w:color w:val="000000"/>
                <w:sz w:val="20"/>
                <w:szCs w:val="20"/>
              </w:rPr>
              <w:t xml:space="preserve">2. Ilgis: </w:t>
            </w:r>
            <w:r>
              <w:rPr>
                <w:rFonts w:ascii="Times New Roman" w:hAnsi="Times New Roman"/>
                <w:color w:val="000000"/>
                <w:sz w:val="20"/>
                <w:szCs w:val="20"/>
              </w:rPr>
              <w:t xml:space="preserve">gali būti </w:t>
            </w:r>
            <w:r w:rsidRPr="00DD1F6A">
              <w:rPr>
                <w:rFonts w:ascii="Times New Roman" w:hAnsi="Times New Roman"/>
                <w:color w:val="000000"/>
                <w:sz w:val="20"/>
                <w:szCs w:val="20"/>
              </w:rPr>
              <w:t>nuo 12,</w:t>
            </w:r>
            <w:r w:rsidR="002D5C88">
              <w:rPr>
                <w:rFonts w:ascii="Times New Roman" w:hAnsi="Times New Roman"/>
                <w:color w:val="000000"/>
                <w:sz w:val="20"/>
                <w:szCs w:val="20"/>
              </w:rPr>
              <w:t>75</w:t>
            </w:r>
            <w:r w:rsidRPr="00DD1F6A">
              <w:rPr>
                <w:rFonts w:ascii="Times New Roman" w:hAnsi="Times New Roman"/>
                <w:color w:val="000000"/>
                <w:sz w:val="20"/>
                <w:szCs w:val="20"/>
              </w:rPr>
              <w:t xml:space="preserve"> mm</w:t>
            </w:r>
            <w:r w:rsidR="002D5C88">
              <w:rPr>
                <w:rFonts w:ascii="Times New Roman" w:hAnsi="Times New Roman"/>
                <w:color w:val="000000"/>
                <w:sz w:val="20"/>
                <w:szCs w:val="20"/>
              </w:rPr>
              <w:t>;</w:t>
            </w:r>
          </w:p>
          <w:p w14:paraId="534C8324" w14:textId="5CFA0795" w:rsidR="00FD2108" w:rsidRPr="00DD1F6A" w:rsidRDefault="00FD2108" w:rsidP="002D5C88">
            <w:pPr>
              <w:pStyle w:val="Bodytext50"/>
              <w:spacing w:line="240" w:lineRule="auto"/>
              <w:ind w:left="40"/>
              <w:contextualSpacing/>
              <w:rPr>
                <w:rFonts w:ascii="Times New Roman" w:hAnsi="Times New Roman"/>
                <w:color w:val="000000"/>
                <w:sz w:val="20"/>
                <w:szCs w:val="20"/>
              </w:rPr>
            </w:pPr>
            <w:r w:rsidRPr="00DD1F6A">
              <w:rPr>
                <w:rFonts w:ascii="Times New Roman" w:hAnsi="Times New Roman"/>
                <w:color w:val="000000"/>
                <w:sz w:val="20"/>
                <w:szCs w:val="20"/>
              </w:rPr>
              <w:t xml:space="preserve">3. Optinės dalies diametras: </w:t>
            </w:r>
            <w:r>
              <w:rPr>
                <w:rFonts w:ascii="Times New Roman" w:hAnsi="Times New Roman"/>
                <w:color w:val="000000"/>
                <w:sz w:val="20"/>
                <w:szCs w:val="20"/>
              </w:rPr>
              <w:t xml:space="preserve">gali būti </w:t>
            </w:r>
            <w:r w:rsidRPr="00DD1F6A">
              <w:rPr>
                <w:rFonts w:ascii="Times New Roman" w:hAnsi="Times New Roman"/>
                <w:color w:val="000000"/>
                <w:sz w:val="20"/>
                <w:szCs w:val="20"/>
              </w:rPr>
              <w:t xml:space="preserve">nuo </w:t>
            </w:r>
            <w:r w:rsidR="002D5C88">
              <w:rPr>
                <w:rFonts w:ascii="Times New Roman" w:hAnsi="Times New Roman"/>
                <w:color w:val="000000"/>
                <w:sz w:val="20"/>
                <w:szCs w:val="20"/>
              </w:rPr>
              <w:t>6,0</w:t>
            </w:r>
            <w:r w:rsidRPr="00DD1F6A">
              <w:rPr>
                <w:rFonts w:ascii="Times New Roman" w:hAnsi="Times New Roman"/>
                <w:color w:val="000000"/>
                <w:sz w:val="20"/>
                <w:szCs w:val="20"/>
              </w:rPr>
              <w:t xml:space="preserve"> mm</w:t>
            </w:r>
            <w:r w:rsidR="002D5C88">
              <w:rPr>
                <w:rFonts w:ascii="Times New Roman" w:hAnsi="Times New Roman"/>
                <w:color w:val="000000"/>
                <w:sz w:val="20"/>
                <w:szCs w:val="20"/>
              </w:rPr>
              <w:t>;</w:t>
            </w:r>
          </w:p>
          <w:p w14:paraId="394FE7AD" w14:textId="7F01D3B7" w:rsidR="00FD2108" w:rsidRPr="00DD1F6A" w:rsidRDefault="00FD2108" w:rsidP="002D5C88">
            <w:pPr>
              <w:pStyle w:val="Bodytext50"/>
              <w:spacing w:line="240" w:lineRule="auto"/>
              <w:ind w:left="40"/>
              <w:contextualSpacing/>
              <w:rPr>
                <w:rFonts w:ascii="Times New Roman" w:hAnsi="Times New Roman"/>
                <w:color w:val="000000"/>
                <w:sz w:val="20"/>
                <w:szCs w:val="20"/>
              </w:rPr>
            </w:pPr>
            <w:r w:rsidRPr="00DD1F6A">
              <w:rPr>
                <w:rFonts w:ascii="Times New Roman" w:hAnsi="Times New Roman"/>
                <w:color w:val="000000"/>
                <w:sz w:val="20"/>
                <w:szCs w:val="20"/>
              </w:rPr>
              <w:t>4. Laužiamoji galia: nuo +5 iki +25 dioptrijų</w:t>
            </w:r>
            <w:r w:rsidR="002D5C88">
              <w:rPr>
                <w:rFonts w:ascii="Times New Roman" w:hAnsi="Times New Roman"/>
                <w:color w:val="000000"/>
                <w:sz w:val="20"/>
                <w:szCs w:val="20"/>
              </w:rPr>
              <w:t>;</w:t>
            </w:r>
          </w:p>
          <w:p w14:paraId="4E58EC5E" w14:textId="77777777" w:rsidR="002D5C88" w:rsidRDefault="00FD2108" w:rsidP="002D5C88">
            <w:pPr>
              <w:ind w:left="40"/>
              <w:rPr>
                <w:color w:val="000000"/>
                <w:sz w:val="20"/>
                <w:szCs w:val="20"/>
              </w:rPr>
            </w:pPr>
            <w:r w:rsidRPr="00DD1F6A">
              <w:rPr>
                <w:color w:val="000000"/>
                <w:sz w:val="20"/>
                <w:szCs w:val="20"/>
              </w:rPr>
              <w:t>5. Atraminiai elementai atviro tipo (angl. open loop) su 4 atraminiais</w:t>
            </w:r>
          </w:p>
          <w:p w14:paraId="31E7EF94" w14:textId="3143023E" w:rsidR="00FD2108" w:rsidRPr="00621AD1" w:rsidRDefault="00FD2108" w:rsidP="002D5C88">
            <w:pPr>
              <w:ind w:left="40"/>
              <w:rPr>
                <w:sz w:val="20"/>
                <w:szCs w:val="20"/>
              </w:rPr>
            </w:pPr>
            <w:r w:rsidRPr="00DD1F6A">
              <w:rPr>
                <w:color w:val="000000"/>
                <w:sz w:val="20"/>
                <w:szCs w:val="20"/>
              </w:rPr>
              <w:t>taškais</w:t>
            </w:r>
            <w:r>
              <w:rPr>
                <w:color w:val="000000"/>
                <w:sz w:val="20"/>
                <w:szCs w:val="20"/>
              </w:rPr>
              <w:t>.</w:t>
            </w:r>
            <w:r w:rsidR="00834556">
              <w:rPr>
                <w:color w:val="000000"/>
                <w:sz w:val="20"/>
                <w:szCs w:val="20"/>
              </w:rPr>
              <w:t xml:space="preserve"> </w:t>
            </w:r>
            <w:r w:rsidR="00834556" w:rsidRPr="00834556">
              <w:rPr>
                <w:b/>
                <w:bCs/>
                <w:color w:val="000000"/>
                <w:sz w:val="20"/>
                <w:szCs w:val="20"/>
              </w:rPr>
              <w:t>Žr. Bukletas.pdf 1 psl.</w:t>
            </w:r>
          </w:p>
        </w:tc>
        <w:tc>
          <w:tcPr>
            <w:tcW w:w="823" w:type="dxa"/>
            <w:shd w:val="clear" w:color="auto" w:fill="auto"/>
          </w:tcPr>
          <w:p w14:paraId="29DEC5B4" w14:textId="3BCFEEC9" w:rsidR="00FD2108" w:rsidRPr="00621AD1" w:rsidRDefault="001827CC" w:rsidP="00FD2108">
            <w:pPr>
              <w:jc w:val="center"/>
              <w:rPr>
                <w:sz w:val="20"/>
                <w:szCs w:val="20"/>
              </w:rPr>
            </w:pPr>
            <w:r>
              <w:rPr>
                <w:sz w:val="20"/>
                <w:szCs w:val="20"/>
              </w:rPr>
              <w:t>5%</w:t>
            </w:r>
          </w:p>
        </w:tc>
        <w:tc>
          <w:tcPr>
            <w:tcW w:w="736" w:type="dxa"/>
            <w:shd w:val="clear" w:color="auto" w:fill="auto"/>
          </w:tcPr>
          <w:p w14:paraId="62534210" w14:textId="7C7E340F" w:rsidR="00FD2108" w:rsidRPr="00621AD1" w:rsidRDefault="001827CC" w:rsidP="00FD2108">
            <w:pPr>
              <w:jc w:val="center"/>
              <w:rPr>
                <w:sz w:val="20"/>
                <w:szCs w:val="20"/>
              </w:rPr>
            </w:pPr>
            <w:r>
              <w:rPr>
                <w:sz w:val="20"/>
                <w:szCs w:val="20"/>
              </w:rPr>
              <w:t>9,92</w:t>
            </w:r>
          </w:p>
        </w:tc>
        <w:tc>
          <w:tcPr>
            <w:tcW w:w="965" w:type="dxa"/>
            <w:shd w:val="clear" w:color="auto" w:fill="auto"/>
          </w:tcPr>
          <w:p w14:paraId="2F1A3814" w14:textId="14C79DD0" w:rsidR="00FD2108" w:rsidRPr="00621AD1" w:rsidRDefault="001827CC" w:rsidP="00FD2108">
            <w:pPr>
              <w:jc w:val="center"/>
              <w:rPr>
                <w:sz w:val="20"/>
                <w:szCs w:val="20"/>
              </w:rPr>
            </w:pPr>
            <w:r>
              <w:rPr>
                <w:sz w:val="20"/>
                <w:szCs w:val="20"/>
              </w:rPr>
              <w:t>992,00</w:t>
            </w:r>
          </w:p>
        </w:tc>
        <w:tc>
          <w:tcPr>
            <w:tcW w:w="1162" w:type="dxa"/>
            <w:shd w:val="clear" w:color="auto" w:fill="auto"/>
          </w:tcPr>
          <w:p w14:paraId="1BE6300F" w14:textId="7E434608" w:rsidR="00FD2108" w:rsidRPr="00621AD1" w:rsidRDefault="001827CC" w:rsidP="00584ABA">
            <w:pPr>
              <w:rPr>
                <w:sz w:val="20"/>
                <w:szCs w:val="20"/>
              </w:rPr>
            </w:pPr>
            <w:r>
              <w:rPr>
                <w:sz w:val="20"/>
                <w:szCs w:val="20"/>
              </w:rPr>
              <w:t>I-Medical, Vokietija, katalogo Nr. AC6025PM</w:t>
            </w:r>
          </w:p>
        </w:tc>
      </w:tr>
      <w:tr w:rsidR="00FD2108" w:rsidRPr="00621AD1" w14:paraId="1D24911A" w14:textId="77777777" w:rsidTr="000F4B04">
        <w:tc>
          <w:tcPr>
            <w:tcW w:w="704" w:type="dxa"/>
            <w:shd w:val="clear" w:color="auto" w:fill="auto"/>
          </w:tcPr>
          <w:p w14:paraId="521D3F9A" w14:textId="77777777" w:rsidR="00FD2108" w:rsidRPr="00DD1F6A" w:rsidRDefault="00FD2108" w:rsidP="00FD2108">
            <w:pPr>
              <w:jc w:val="center"/>
              <w:rPr>
                <w:b/>
                <w:sz w:val="20"/>
                <w:szCs w:val="20"/>
              </w:rPr>
            </w:pPr>
            <w:r w:rsidRPr="00DD1F6A">
              <w:rPr>
                <w:b/>
                <w:sz w:val="20"/>
                <w:szCs w:val="20"/>
              </w:rPr>
              <w:t>4</w:t>
            </w:r>
          </w:p>
        </w:tc>
        <w:tc>
          <w:tcPr>
            <w:tcW w:w="1452" w:type="dxa"/>
            <w:shd w:val="clear" w:color="auto" w:fill="auto"/>
          </w:tcPr>
          <w:p w14:paraId="471DE64A" w14:textId="77777777" w:rsidR="00FD2108" w:rsidRPr="00DD1F6A" w:rsidRDefault="00FD2108" w:rsidP="00FD2108">
            <w:pPr>
              <w:rPr>
                <w:b/>
                <w:sz w:val="20"/>
                <w:szCs w:val="20"/>
              </w:rPr>
            </w:pPr>
            <w:r w:rsidRPr="00DD1F6A">
              <w:rPr>
                <w:b/>
                <w:sz w:val="20"/>
                <w:szCs w:val="20"/>
              </w:rPr>
              <w:t>Kapsulės tempimo žiedai</w:t>
            </w:r>
          </w:p>
        </w:tc>
        <w:tc>
          <w:tcPr>
            <w:tcW w:w="5953" w:type="dxa"/>
            <w:shd w:val="clear" w:color="auto" w:fill="auto"/>
          </w:tcPr>
          <w:p w14:paraId="61187B93" w14:textId="77777777" w:rsidR="00FD2108" w:rsidRPr="00DD1F6A" w:rsidRDefault="00FD2108" w:rsidP="00FD2108">
            <w:pPr>
              <w:pStyle w:val="NoSpacing"/>
              <w:rPr>
                <w:rFonts w:eastAsia="PMingLiU"/>
                <w:sz w:val="20"/>
                <w:szCs w:val="20"/>
              </w:rPr>
            </w:pPr>
            <w:r>
              <w:rPr>
                <w:rFonts w:eastAsia="PMingLiU"/>
                <w:sz w:val="20"/>
                <w:szCs w:val="20"/>
              </w:rPr>
              <w:t xml:space="preserve">1. </w:t>
            </w:r>
            <w:r w:rsidRPr="00DD1F6A">
              <w:rPr>
                <w:rFonts w:eastAsia="PMingLiU"/>
                <w:sz w:val="20"/>
                <w:szCs w:val="20"/>
              </w:rPr>
              <w:t xml:space="preserve">Medžiaga: </w:t>
            </w:r>
            <w:r w:rsidRPr="00DD1F6A">
              <w:rPr>
                <w:color w:val="000000"/>
                <w:sz w:val="20"/>
                <w:szCs w:val="20"/>
              </w:rPr>
              <w:t>polimetilmetakrilatas ar jo dariniai</w:t>
            </w:r>
            <w:r w:rsidRPr="00DD1F6A">
              <w:rPr>
                <w:rFonts w:eastAsia="PMingLiU"/>
                <w:sz w:val="20"/>
                <w:szCs w:val="20"/>
              </w:rPr>
              <w:t>;</w:t>
            </w:r>
          </w:p>
          <w:p w14:paraId="03499651" w14:textId="77777777" w:rsidR="00FD2108" w:rsidRDefault="00FD2108" w:rsidP="00FD2108">
            <w:pPr>
              <w:pStyle w:val="NoSpacing"/>
              <w:rPr>
                <w:rFonts w:eastAsia="PMingLiU"/>
                <w:sz w:val="20"/>
                <w:szCs w:val="20"/>
              </w:rPr>
            </w:pPr>
            <w:r>
              <w:rPr>
                <w:rFonts w:eastAsia="PMingLiU"/>
                <w:sz w:val="20"/>
                <w:szCs w:val="20"/>
              </w:rPr>
              <w:t xml:space="preserve">2. </w:t>
            </w:r>
            <w:r w:rsidRPr="00DD1F6A">
              <w:rPr>
                <w:rFonts w:eastAsia="PMingLiU"/>
                <w:sz w:val="20"/>
                <w:szCs w:val="20"/>
              </w:rPr>
              <w:t xml:space="preserve">Diametras: </w:t>
            </w:r>
            <w:r>
              <w:rPr>
                <w:rFonts w:eastAsia="PMingLiU"/>
                <w:sz w:val="20"/>
                <w:szCs w:val="20"/>
              </w:rPr>
              <w:t xml:space="preserve">nuo </w:t>
            </w:r>
            <w:r w:rsidRPr="00DD1F6A">
              <w:rPr>
                <w:rFonts w:eastAsia="PMingLiU"/>
                <w:sz w:val="20"/>
                <w:szCs w:val="20"/>
              </w:rPr>
              <w:t>12,0mm</w:t>
            </w:r>
            <w:r>
              <w:rPr>
                <w:rFonts w:eastAsia="PMingLiU"/>
                <w:sz w:val="20"/>
                <w:szCs w:val="20"/>
              </w:rPr>
              <w:t xml:space="preserve"> iki </w:t>
            </w:r>
            <w:r w:rsidRPr="00DD1F6A">
              <w:rPr>
                <w:rFonts w:eastAsia="PMingLiU"/>
                <w:sz w:val="20"/>
                <w:szCs w:val="20"/>
              </w:rPr>
              <w:t>14,0mm, su angutėmis galuose</w:t>
            </w:r>
            <w:r>
              <w:rPr>
                <w:rFonts w:eastAsia="PMingLiU"/>
                <w:sz w:val="20"/>
                <w:szCs w:val="20"/>
              </w:rPr>
              <w:t>.</w:t>
            </w:r>
          </w:p>
          <w:p w14:paraId="391841B8" w14:textId="77777777" w:rsidR="00FD2108" w:rsidRPr="00DD1F6A" w:rsidRDefault="00FD2108" w:rsidP="00FD2108">
            <w:pPr>
              <w:pStyle w:val="NoSpacing"/>
              <w:rPr>
                <w:rFonts w:eastAsia="PMingLiU"/>
                <w:sz w:val="20"/>
                <w:szCs w:val="20"/>
              </w:rPr>
            </w:pPr>
            <w:r>
              <w:rPr>
                <w:rFonts w:eastAsia="PMingLiU"/>
                <w:sz w:val="20"/>
                <w:szCs w:val="20"/>
              </w:rPr>
              <w:t>3. Mėlynos spalvos.</w:t>
            </w:r>
          </w:p>
        </w:tc>
        <w:tc>
          <w:tcPr>
            <w:tcW w:w="851" w:type="dxa"/>
            <w:shd w:val="clear" w:color="auto" w:fill="auto"/>
          </w:tcPr>
          <w:p w14:paraId="729E14B2" w14:textId="77777777" w:rsidR="00FD2108" w:rsidRPr="00DD1F6A" w:rsidRDefault="00FD2108" w:rsidP="00FD2108">
            <w:pPr>
              <w:jc w:val="center"/>
              <w:rPr>
                <w:sz w:val="20"/>
                <w:szCs w:val="20"/>
              </w:rPr>
            </w:pPr>
            <w:r w:rsidRPr="00DD1F6A">
              <w:rPr>
                <w:sz w:val="20"/>
                <w:szCs w:val="20"/>
              </w:rPr>
              <w:t xml:space="preserve">Iki </w:t>
            </w:r>
            <w:r>
              <w:rPr>
                <w:sz w:val="20"/>
                <w:szCs w:val="20"/>
              </w:rPr>
              <w:t>20</w:t>
            </w:r>
            <w:r w:rsidRPr="00DD1F6A">
              <w:rPr>
                <w:sz w:val="20"/>
                <w:szCs w:val="20"/>
              </w:rPr>
              <w:t>0 vnt.</w:t>
            </w:r>
          </w:p>
        </w:tc>
        <w:tc>
          <w:tcPr>
            <w:tcW w:w="3118" w:type="dxa"/>
            <w:shd w:val="clear" w:color="auto" w:fill="auto"/>
          </w:tcPr>
          <w:p w14:paraId="0EF7097A" w14:textId="09BAD9F1" w:rsidR="00FD2108" w:rsidRPr="00DD1F6A" w:rsidRDefault="00FD2108" w:rsidP="00FD2108">
            <w:pPr>
              <w:pStyle w:val="NoSpacing"/>
              <w:rPr>
                <w:rFonts w:eastAsia="PMingLiU"/>
                <w:sz w:val="20"/>
                <w:szCs w:val="20"/>
              </w:rPr>
            </w:pPr>
            <w:r>
              <w:rPr>
                <w:rFonts w:eastAsia="PMingLiU"/>
                <w:sz w:val="20"/>
                <w:szCs w:val="20"/>
              </w:rPr>
              <w:t xml:space="preserve">1. </w:t>
            </w:r>
            <w:r w:rsidRPr="00DD1F6A">
              <w:rPr>
                <w:rFonts w:eastAsia="PMingLiU"/>
                <w:sz w:val="20"/>
                <w:szCs w:val="20"/>
              </w:rPr>
              <w:t xml:space="preserve">Medžiaga: </w:t>
            </w:r>
            <w:r w:rsidRPr="00DD1F6A">
              <w:rPr>
                <w:color w:val="000000"/>
                <w:sz w:val="20"/>
                <w:szCs w:val="20"/>
              </w:rPr>
              <w:t>polimetilmetakrilatas</w:t>
            </w:r>
            <w:r w:rsidR="002D5C88">
              <w:rPr>
                <w:color w:val="000000"/>
                <w:sz w:val="20"/>
                <w:szCs w:val="20"/>
              </w:rPr>
              <w:t>;</w:t>
            </w:r>
          </w:p>
          <w:p w14:paraId="3633413F" w14:textId="393D3AC2" w:rsidR="00FD2108" w:rsidRDefault="00FD2108" w:rsidP="00FD2108">
            <w:pPr>
              <w:pStyle w:val="NoSpacing"/>
              <w:rPr>
                <w:rFonts w:eastAsia="PMingLiU"/>
                <w:sz w:val="20"/>
                <w:szCs w:val="20"/>
              </w:rPr>
            </w:pPr>
            <w:r>
              <w:rPr>
                <w:rFonts w:eastAsia="PMingLiU"/>
                <w:sz w:val="20"/>
                <w:szCs w:val="20"/>
              </w:rPr>
              <w:t xml:space="preserve">2. </w:t>
            </w:r>
            <w:r w:rsidRPr="00DD1F6A">
              <w:rPr>
                <w:rFonts w:eastAsia="PMingLiU"/>
                <w:sz w:val="20"/>
                <w:szCs w:val="20"/>
              </w:rPr>
              <w:t xml:space="preserve">Diametras: </w:t>
            </w:r>
            <w:r>
              <w:rPr>
                <w:rFonts w:eastAsia="PMingLiU"/>
                <w:sz w:val="20"/>
                <w:szCs w:val="20"/>
              </w:rPr>
              <w:t xml:space="preserve">nuo </w:t>
            </w:r>
            <w:r w:rsidRPr="00DD1F6A">
              <w:rPr>
                <w:rFonts w:eastAsia="PMingLiU"/>
                <w:sz w:val="20"/>
                <w:szCs w:val="20"/>
              </w:rPr>
              <w:t>12,0mm</w:t>
            </w:r>
            <w:r>
              <w:rPr>
                <w:rFonts w:eastAsia="PMingLiU"/>
                <w:sz w:val="20"/>
                <w:szCs w:val="20"/>
              </w:rPr>
              <w:t xml:space="preserve"> iki </w:t>
            </w:r>
            <w:r w:rsidRPr="00DD1F6A">
              <w:rPr>
                <w:rFonts w:eastAsia="PMingLiU"/>
                <w:sz w:val="20"/>
                <w:szCs w:val="20"/>
              </w:rPr>
              <w:t>14,0mm, su angutėmis galuose</w:t>
            </w:r>
            <w:r w:rsidR="002D5C88">
              <w:rPr>
                <w:rFonts w:eastAsia="PMingLiU"/>
                <w:sz w:val="20"/>
                <w:szCs w:val="20"/>
              </w:rPr>
              <w:t>;</w:t>
            </w:r>
          </w:p>
          <w:p w14:paraId="358CF43D" w14:textId="66BDF244" w:rsidR="00FD2108" w:rsidRPr="00621AD1" w:rsidRDefault="00FD2108" w:rsidP="002D5C88">
            <w:pPr>
              <w:rPr>
                <w:sz w:val="20"/>
                <w:szCs w:val="20"/>
              </w:rPr>
            </w:pPr>
            <w:r>
              <w:rPr>
                <w:rFonts w:eastAsia="PMingLiU"/>
                <w:sz w:val="20"/>
                <w:szCs w:val="20"/>
              </w:rPr>
              <w:t>3. Mėlynos spalvos.</w:t>
            </w:r>
            <w:r w:rsidR="00834556" w:rsidRPr="00834556">
              <w:rPr>
                <w:b/>
                <w:bCs/>
                <w:color w:val="000000"/>
                <w:sz w:val="20"/>
                <w:szCs w:val="20"/>
              </w:rPr>
              <w:t xml:space="preserve"> Žr. Bukletas.pdf 1 psl.</w:t>
            </w:r>
          </w:p>
        </w:tc>
        <w:tc>
          <w:tcPr>
            <w:tcW w:w="823" w:type="dxa"/>
            <w:shd w:val="clear" w:color="auto" w:fill="auto"/>
          </w:tcPr>
          <w:p w14:paraId="7B82A07F" w14:textId="7E23D52E" w:rsidR="00FD2108" w:rsidRPr="00621AD1" w:rsidRDefault="00A45BBC" w:rsidP="00FD2108">
            <w:pPr>
              <w:jc w:val="center"/>
              <w:rPr>
                <w:sz w:val="20"/>
                <w:szCs w:val="20"/>
              </w:rPr>
            </w:pPr>
            <w:r>
              <w:rPr>
                <w:sz w:val="20"/>
                <w:szCs w:val="20"/>
              </w:rPr>
              <w:t>5%</w:t>
            </w:r>
          </w:p>
        </w:tc>
        <w:tc>
          <w:tcPr>
            <w:tcW w:w="736" w:type="dxa"/>
            <w:shd w:val="clear" w:color="auto" w:fill="auto"/>
          </w:tcPr>
          <w:p w14:paraId="5D542E42" w14:textId="4B00AA7B" w:rsidR="00FD2108" w:rsidRPr="00621AD1" w:rsidRDefault="00A45BBC" w:rsidP="00FD2108">
            <w:pPr>
              <w:jc w:val="center"/>
              <w:rPr>
                <w:sz w:val="20"/>
                <w:szCs w:val="20"/>
              </w:rPr>
            </w:pPr>
            <w:r>
              <w:rPr>
                <w:sz w:val="20"/>
                <w:szCs w:val="20"/>
              </w:rPr>
              <w:t>8,87</w:t>
            </w:r>
          </w:p>
        </w:tc>
        <w:tc>
          <w:tcPr>
            <w:tcW w:w="965" w:type="dxa"/>
            <w:shd w:val="clear" w:color="auto" w:fill="auto"/>
          </w:tcPr>
          <w:p w14:paraId="017F7937" w14:textId="69E59B99" w:rsidR="00FD2108" w:rsidRPr="00621AD1" w:rsidRDefault="00A45BBC" w:rsidP="00FD2108">
            <w:pPr>
              <w:jc w:val="center"/>
              <w:rPr>
                <w:sz w:val="20"/>
                <w:szCs w:val="20"/>
              </w:rPr>
            </w:pPr>
            <w:r>
              <w:rPr>
                <w:sz w:val="20"/>
                <w:szCs w:val="20"/>
              </w:rPr>
              <w:t>1774,00</w:t>
            </w:r>
          </w:p>
        </w:tc>
        <w:tc>
          <w:tcPr>
            <w:tcW w:w="1162" w:type="dxa"/>
            <w:shd w:val="clear" w:color="auto" w:fill="auto"/>
          </w:tcPr>
          <w:p w14:paraId="1259E14A" w14:textId="33251532" w:rsidR="00FD2108" w:rsidRPr="00621AD1" w:rsidRDefault="001827CC" w:rsidP="00584ABA">
            <w:pPr>
              <w:rPr>
                <w:sz w:val="20"/>
                <w:szCs w:val="20"/>
              </w:rPr>
            </w:pPr>
            <w:r>
              <w:rPr>
                <w:sz w:val="20"/>
                <w:szCs w:val="20"/>
              </w:rPr>
              <w:t>I-Medical, Vokietija, katalogo Nr. CTR</w:t>
            </w:r>
          </w:p>
        </w:tc>
      </w:tr>
      <w:tr w:rsidR="00FD2108" w:rsidRPr="00621AD1" w14:paraId="6230A55A" w14:textId="77777777" w:rsidTr="000F4B04">
        <w:tc>
          <w:tcPr>
            <w:tcW w:w="704" w:type="dxa"/>
            <w:shd w:val="clear" w:color="auto" w:fill="auto"/>
          </w:tcPr>
          <w:p w14:paraId="1EDF60C9" w14:textId="77777777" w:rsidR="00FD2108" w:rsidRPr="00DD1F6A" w:rsidRDefault="00FD2108" w:rsidP="00FD2108">
            <w:pPr>
              <w:jc w:val="center"/>
              <w:rPr>
                <w:b/>
                <w:sz w:val="20"/>
                <w:szCs w:val="20"/>
              </w:rPr>
            </w:pPr>
            <w:r w:rsidRPr="00DD1F6A">
              <w:rPr>
                <w:b/>
                <w:sz w:val="20"/>
                <w:szCs w:val="20"/>
              </w:rPr>
              <w:t>5</w:t>
            </w:r>
          </w:p>
        </w:tc>
        <w:tc>
          <w:tcPr>
            <w:tcW w:w="1452" w:type="dxa"/>
            <w:shd w:val="clear" w:color="auto" w:fill="auto"/>
          </w:tcPr>
          <w:p w14:paraId="7A90C20A" w14:textId="77777777" w:rsidR="00FD2108" w:rsidRPr="00DD1F6A" w:rsidRDefault="00FD2108" w:rsidP="00FD2108">
            <w:pPr>
              <w:rPr>
                <w:b/>
                <w:sz w:val="20"/>
                <w:szCs w:val="20"/>
              </w:rPr>
            </w:pPr>
            <w:r w:rsidRPr="00DD1F6A">
              <w:rPr>
                <w:b/>
                <w:color w:val="000000"/>
                <w:sz w:val="20"/>
                <w:szCs w:val="20"/>
              </w:rPr>
              <w:t>Vienkartinės, sterilios neperlenkiamos IOL implantavimo kasetės</w:t>
            </w:r>
          </w:p>
        </w:tc>
        <w:tc>
          <w:tcPr>
            <w:tcW w:w="5953" w:type="dxa"/>
            <w:shd w:val="clear" w:color="auto" w:fill="auto"/>
          </w:tcPr>
          <w:p w14:paraId="1E70F8FA" w14:textId="77777777" w:rsidR="00FD2108" w:rsidRPr="00DD1F6A" w:rsidRDefault="00FD2108" w:rsidP="00FD2108">
            <w:pPr>
              <w:pStyle w:val="NoSpacing"/>
              <w:rPr>
                <w:rFonts w:eastAsia="PMingLiU"/>
                <w:sz w:val="20"/>
                <w:szCs w:val="20"/>
              </w:rPr>
            </w:pPr>
            <w:r>
              <w:rPr>
                <w:color w:val="000000"/>
                <w:sz w:val="20"/>
                <w:szCs w:val="20"/>
              </w:rPr>
              <w:t xml:space="preserve">1. </w:t>
            </w:r>
            <w:r w:rsidRPr="00DD1F6A">
              <w:rPr>
                <w:color w:val="000000"/>
                <w:sz w:val="20"/>
                <w:szCs w:val="20"/>
              </w:rPr>
              <w:t xml:space="preserve">Skirtos ligoninėje </w:t>
            </w:r>
            <w:r>
              <w:rPr>
                <w:color w:val="000000"/>
                <w:sz w:val="20"/>
                <w:szCs w:val="20"/>
              </w:rPr>
              <w:t xml:space="preserve">turimiems </w:t>
            </w:r>
            <w:r w:rsidRPr="00DD1F6A">
              <w:rPr>
                <w:color w:val="000000"/>
                <w:sz w:val="20"/>
                <w:szCs w:val="20"/>
              </w:rPr>
              <w:t xml:space="preserve">Monarch II </w:t>
            </w:r>
            <w:r>
              <w:rPr>
                <w:color w:val="000000"/>
                <w:sz w:val="20"/>
                <w:szCs w:val="20"/>
              </w:rPr>
              <w:t>ir Monarch III</w:t>
            </w:r>
            <w:r w:rsidRPr="00DD1F6A">
              <w:rPr>
                <w:color w:val="000000"/>
                <w:sz w:val="20"/>
                <w:szCs w:val="20"/>
              </w:rPr>
              <w:t xml:space="preserve"> injektori</w:t>
            </w:r>
            <w:r>
              <w:rPr>
                <w:color w:val="000000"/>
                <w:sz w:val="20"/>
                <w:szCs w:val="20"/>
              </w:rPr>
              <w:t>ams</w:t>
            </w:r>
            <w:r w:rsidRPr="00DD1F6A">
              <w:rPr>
                <w:color w:val="000000"/>
                <w:sz w:val="20"/>
                <w:szCs w:val="20"/>
              </w:rPr>
              <w:t>, implantuoti IOL per ne didesnį kaip 2,75 mm pjūvį</w:t>
            </w:r>
            <w:r>
              <w:rPr>
                <w:color w:val="000000"/>
                <w:sz w:val="20"/>
                <w:szCs w:val="20"/>
              </w:rPr>
              <w:t>.</w:t>
            </w:r>
          </w:p>
        </w:tc>
        <w:tc>
          <w:tcPr>
            <w:tcW w:w="851" w:type="dxa"/>
            <w:shd w:val="clear" w:color="auto" w:fill="auto"/>
          </w:tcPr>
          <w:p w14:paraId="6F0C49F0" w14:textId="77777777" w:rsidR="00FD2108" w:rsidRPr="00DD1F6A" w:rsidRDefault="00FD2108" w:rsidP="00FD2108">
            <w:pPr>
              <w:jc w:val="center"/>
              <w:rPr>
                <w:sz w:val="20"/>
                <w:szCs w:val="20"/>
              </w:rPr>
            </w:pPr>
            <w:r w:rsidRPr="00DD1F6A">
              <w:rPr>
                <w:sz w:val="20"/>
                <w:szCs w:val="20"/>
              </w:rPr>
              <w:t>Iki 1</w:t>
            </w:r>
            <w:r>
              <w:rPr>
                <w:sz w:val="20"/>
                <w:szCs w:val="20"/>
              </w:rPr>
              <w:t>0</w:t>
            </w:r>
            <w:r w:rsidRPr="00DD1F6A">
              <w:rPr>
                <w:sz w:val="20"/>
                <w:szCs w:val="20"/>
              </w:rPr>
              <w:t>00 vnt.</w:t>
            </w:r>
          </w:p>
        </w:tc>
        <w:tc>
          <w:tcPr>
            <w:tcW w:w="3118" w:type="dxa"/>
            <w:shd w:val="clear" w:color="auto" w:fill="auto"/>
          </w:tcPr>
          <w:p w14:paraId="457D6217" w14:textId="64A6EB66" w:rsidR="00FD2108" w:rsidRPr="00621AD1" w:rsidRDefault="00FD2108" w:rsidP="002D5C88">
            <w:pPr>
              <w:rPr>
                <w:sz w:val="20"/>
                <w:szCs w:val="20"/>
              </w:rPr>
            </w:pPr>
            <w:r>
              <w:rPr>
                <w:color w:val="000000"/>
                <w:sz w:val="20"/>
                <w:szCs w:val="20"/>
              </w:rPr>
              <w:t xml:space="preserve">1. </w:t>
            </w:r>
            <w:r w:rsidRPr="00DD1F6A">
              <w:rPr>
                <w:color w:val="000000"/>
                <w:sz w:val="20"/>
                <w:szCs w:val="20"/>
              </w:rPr>
              <w:t xml:space="preserve">Skirtos ligoninėje </w:t>
            </w:r>
            <w:r>
              <w:rPr>
                <w:color w:val="000000"/>
                <w:sz w:val="20"/>
                <w:szCs w:val="20"/>
              </w:rPr>
              <w:t xml:space="preserve">turimiems </w:t>
            </w:r>
            <w:r w:rsidRPr="00DD1F6A">
              <w:rPr>
                <w:color w:val="000000"/>
                <w:sz w:val="20"/>
                <w:szCs w:val="20"/>
              </w:rPr>
              <w:t xml:space="preserve">Monarch II </w:t>
            </w:r>
            <w:r>
              <w:rPr>
                <w:color w:val="000000"/>
                <w:sz w:val="20"/>
                <w:szCs w:val="20"/>
              </w:rPr>
              <w:t>ir Monarch III</w:t>
            </w:r>
            <w:r w:rsidRPr="00DD1F6A">
              <w:rPr>
                <w:color w:val="000000"/>
                <w:sz w:val="20"/>
                <w:szCs w:val="20"/>
              </w:rPr>
              <w:t xml:space="preserve"> injektori</w:t>
            </w:r>
            <w:r>
              <w:rPr>
                <w:color w:val="000000"/>
                <w:sz w:val="20"/>
                <w:szCs w:val="20"/>
              </w:rPr>
              <w:t>ams</w:t>
            </w:r>
            <w:r w:rsidRPr="00DD1F6A">
              <w:rPr>
                <w:color w:val="000000"/>
                <w:sz w:val="20"/>
                <w:szCs w:val="20"/>
              </w:rPr>
              <w:t>, implantuoti IOL per 2,75 mm pjūvį</w:t>
            </w:r>
            <w:r>
              <w:rPr>
                <w:color w:val="000000"/>
                <w:sz w:val="20"/>
                <w:szCs w:val="20"/>
              </w:rPr>
              <w:t>.</w:t>
            </w:r>
            <w:r w:rsidR="00834556" w:rsidRPr="00834556">
              <w:rPr>
                <w:b/>
                <w:bCs/>
                <w:color w:val="000000"/>
                <w:sz w:val="20"/>
                <w:szCs w:val="20"/>
              </w:rPr>
              <w:t xml:space="preserve"> Žr. Bukletas.pdf </w:t>
            </w:r>
            <w:r w:rsidR="00834556">
              <w:rPr>
                <w:b/>
                <w:bCs/>
                <w:color w:val="000000"/>
                <w:sz w:val="20"/>
                <w:szCs w:val="20"/>
              </w:rPr>
              <w:t>2</w:t>
            </w:r>
            <w:r w:rsidR="00A24F08">
              <w:rPr>
                <w:b/>
                <w:bCs/>
                <w:color w:val="000000"/>
                <w:sz w:val="20"/>
                <w:szCs w:val="20"/>
              </w:rPr>
              <w:t>-3</w:t>
            </w:r>
            <w:r w:rsidR="00834556" w:rsidRPr="00834556">
              <w:rPr>
                <w:b/>
                <w:bCs/>
                <w:color w:val="000000"/>
                <w:sz w:val="20"/>
                <w:szCs w:val="20"/>
              </w:rPr>
              <w:t xml:space="preserve"> psl.</w:t>
            </w:r>
          </w:p>
        </w:tc>
        <w:tc>
          <w:tcPr>
            <w:tcW w:w="823" w:type="dxa"/>
            <w:shd w:val="clear" w:color="auto" w:fill="auto"/>
          </w:tcPr>
          <w:p w14:paraId="7628E764" w14:textId="3FB63248" w:rsidR="00FD2108" w:rsidRPr="00621AD1" w:rsidRDefault="00A45BBC" w:rsidP="00FD2108">
            <w:pPr>
              <w:jc w:val="center"/>
              <w:rPr>
                <w:sz w:val="20"/>
                <w:szCs w:val="20"/>
              </w:rPr>
            </w:pPr>
            <w:r>
              <w:rPr>
                <w:sz w:val="20"/>
                <w:szCs w:val="20"/>
              </w:rPr>
              <w:t>5%</w:t>
            </w:r>
          </w:p>
        </w:tc>
        <w:tc>
          <w:tcPr>
            <w:tcW w:w="736" w:type="dxa"/>
            <w:shd w:val="clear" w:color="auto" w:fill="auto"/>
          </w:tcPr>
          <w:p w14:paraId="1A41DBC5" w14:textId="47C24709" w:rsidR="00FD2108" w:rsidRPr="00621AD1" w:rsidRDefault="00A45BBC" w:rsidP="00FD2108">
            <w:pPr>
              <w:jc w:val="center"/>
              <w:rPr>
                <w:sz w:val="20"/>
                <w:szCs w:val="20"/>
              </w:rPr>
            </w:pPr>
            <w:r>
              <w:rPr>
                <w:sz w:val="20"/>
                <w:szCs w:val="20"/>
              </w:rPr>
              <w:t>4,83</w:t>
            </w:r>
          </w:p>
        </w:tc>
        <w:tc>
          <w:tcPr>
            <w:tcW w:w="965" w:type="dxa"/>
            <w:shd w:val="clear" w:color="auto" w:fill="auto"/>
          </w:tcPr>
          <w:p w14:paraId="6B98D288" w14:textId="51FEDCED" w:rsidR="00FD2108" w:rsidRPr="00621AD1" w:rsidRDefault="00A45BBC" w:rsidP="00FD2108">
            <w:pPr>
              <w:jc w:val="center"/>
              <w:rPr>
                <w:sz w:val="20"/>
                <w:szCs w:val="20"/>
              </w:rPr>
            </w:pPr>
            <w:r>
              <w:rPr>
                <w:sz w:val="20"/>
                <w:szCs w:val="20"/>
              </w:rPr>
              <w:t>4830,00</w:t>
            </w:r>
          </w:p>
        </w:tc>
        <w:tc>
          <w:tcPr>
            <w:tcW w:w="1162" w:type="dxa"/>
            <w:shd w:val="clear" w:color="auto" w:fill="auto"/>
          </w:tcPr>
          <w:p w14:paraId="60D18D90" w14:textId="5CC2168B" w:rsidR="00FD2108" w:rsidRPr="00621AD1" w:rsidRDefault="00584ABA" w:rsidP="00584ABA">
            <w:pPr>
              <w:rPr>
                <w:sz w:val="20"/>
                <w:szCs w:val="20"/>
              </w:rPr>
            </w:pPr>
            <w:r>
              <w:rPr>
                <w:sz w:val="20"/>
                <w:szCs w:val="20"/>
              </w:rPr>
              <w:t>Alcon, JAV, katalogo Nr. 8065977762.</w:t>
            </w:r>
          </w:p>
        </w:tc>
      </w:tr>
    </w:tbl>
    <w:p w14:paraId="0AAAD95B" w14:textId="77777777" w:rsidR="00C52D38" w:rsidRDefault="00C52D38" w:rsidP="00CC6CC6"/>
    <w:sectPr w:rsidR="00C52D38" w:rsidSect="00CC6CC6">
      <w:pgSz w:w="16838" w:h="11906" w:orient="landscape"/>
      <w:pgMar w:top="993" w:right="1701" w:bottom="567" w:left="1134"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74141"/>
    <w:multiLevelType w:val="hybridMultilevel"/>
    <w:tmpl w:val="F244D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C6"/>
    <w:rsid w:val="0001181C"/>
    <w:rsid w:val="000F4B04"/>
    <w:rsid w:val="001827CC"/>
    <w:rsid w:val="00266A4E"/>
    <w:rsid w:val="002D5C88"/>
    <w:rsid w:val="00354647"/>
    <w:rsid w:val="00355A23"/>
    <w:rsid w:val="004A3238"/>
    <w:rsid w:val="00584ABA"/>
    <w:rsid w:val="00834556"/>
    <w:rsid w:val="009B6E8F"/>
    <w:rsid w:val="00A24F08"/>
    <w:rsid w:val="00A45BBC"/>
    <w:rsid w:val="00C23EB4"/>
    <w:rsid w:val="00C52D38"/>
    <w:rsid w:val="00CC6CC6"/>
    <w:rsid w:val="00DF3110"/>
    <w:rsid w:val="00EB0ABD"/>
    <w:rsid w:val="00FD2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AFE8"/>
  <w15:chartTrackingRefBased/>
  <w15:docId w15:val="{0B9E440A-8B27-420D-BB13-71DA18D4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link w:val="TekstasChar"/>
    <w:qFormat/>
    <w:rsid w:val="00CC6CC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kyris">
    <w:name w:val="Poskyris"/>
    <w:basedOn w:val="Normal"/>
    <w:next w:val="Normal"/>
    <w:qFormat/>
    <w:rsid w:val="00DF3110"/>
    <w:pPr>
      <w:spacing w:before="120" w:after="120" w:line="360" w:lineRule="auto"/>
      <w:jc w:val="center"/>
    </w:pPr>
    <w:rPr>
      <w:b/>
      <w:color w:val="222222"/>
    </w:rPr>
  </w:style>
  <w:style w:type="paragraph" w:customStyle="1" w:styleId="Tekstukas">
    <w:name w:val="Tekstukas"/>
    <w:basedOn w:val="Normal"/>
    <w:qFormat/>
    <w:rsid w:val="00DF3110"/>
    <w:rPr>
      <w:color w:val="222222"/>
    </w:rPr>
  </w:style>
  <w:style w:type="paragraph" w:styleId="Title">
    <w:name w:val="Title"/>
    <w:aliases w:val="Skyrius"/>
    <w:basedOn w:val="Normal"/>
    <w:next w:val="Tekstukas"/>
    <w:link w:val="TitleChar"/>
    <w:uiPriority w:val="10"/>
    <w:qFormat/>
    <w:rsid w:val="004A3238"/>
    <w:pPr>
      <w:spacing w:line="480" w:lineRule="auto"/>
      <w:contextualSpacing/>
      <w:jc w:val="center"/>
    </w:pPr>
    <w:rPr>
      <w:rFonts w:eastAsiaTheme="majorEastAsia" w:cstheme="majorBidi"/>
      <w:spacing w:val="-10"/>
      <w:kern w:val="28"/>
      <w:sz w:val="32"/>
      <w:szCs w:val="56"/>
    </w:rPr>
  </w:style>
  <w:style w:type="character" w:customStyle="1" w:styleId="TitleChar">
    <w:name w:val="Title Char"/>
    <w:aliases w:val="Skyrius Char"/>
    <w:basedOn w:val="DefaultParagraphFont"/>
    <w:link w:val="Title"/>
    <w:uiPriority w:val="10"/>
    <w:rsid w:val="004A3238"/>
    <w:rPr>
      <w:rFonts w:ascii="Times New Roman" w:eastAsiaTheme="majorEastAsia" w:hAnsi="Times New Roman" w:cstheme="majorBidi"/>
      <w:spacing w:val="-10"/>
      <w:kern w:val="28"/>
      <w:sz w:val="32"/>
      <w:szCs w:val="56"/>
      <w:lang w:eastAsia="lt-LT"/>
    </w:rPr>
  </w:style>
  <w:style w:type="character" w:customStyle="1" w:styleId="TekstasChar">
    <w:name w:val="Tekstas Char"/>
    <w:basedOn w:val="DefaultParagraphFont"/>
    <w:rsid w:val="00354647"/>
    <w:rPr>
      <w:rFonts w:ascii="Times New Roman" w:hAnsi="Times New Roman"/>
      <w:sz w:val="28"/>
      <w:szCs w:val="28"/>
    </w:rPr>
  </w:style>
  <w:style w:type="paragraph" w:customStyle="1" w:styleId="ListParagraph1">
    <w:name w:val="List Paragraph1"/>
    <w:aliases w:val="List Paragraph Red,Bullet EY,List Paragraph111,List Paragraph21"/>
    <w:basedOn w:val="Normal"/>
    <w:link w:val="ListParagraphChar"/>
    <w:uiPriority w:val="34"/>
    <w:qFormat/>
    <w:rsid w:val="00CC6CC6"/>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1"/>
    <w:uiPriority w:val="34"/>
    <w:locked/>
    <w:rsid w:val="00CC6CC6"/>
    <w:rPr>
      <w:rFonts w:ascii="Times New Roman" w:hAnsi="Times New Roman" w:cs="Times New Roman"/>
      <w:sz w:val="24"/>
      <w:szCs w:val="20"/>
      <w:lang w:val="x-none"/>
    </w:rPr>
  </w:style>
  <w:style w:type="paragraph" w:styleId="NoSpacing">
    <w:name w:val="No Spacing"/>
    <w:qFormat/>
    <w:rsid w:val="00CC6CC6"/>
    <w:pPr>
      <w:spacing w:after="0" w:line="240" w:lineRule="auto"/>
    </w:pPr>
    <w:rPr>
      <w:rFonts w:ascii="Times New Roman" w:eastAsia="Calibri" w:hAnsi="Times New Roman" w:cs="Times New Roman"/>
      <w:sz w:val="24"/>
    </w:rPr>
  </w:style>
  <w:style w:type="character" w:customStyle="1" w:styleId="Bodytext5">
    <w:name w:val="Body text (5)_"/>
    <w:link w:val="Bodytext50"/>
    <w:locked/>
    <w:rsid w:val="00CC6CC6"/>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CC6CC6"/>
    <w:pPr>
      <w:shd w:val="clear" w:color="auto" w:fill="FFFFFF"/>
      <w:spacing w:line="276" w:lineRule="exact"/>
    </w:pPr>
    <w:rPr>
      <w:rFonts w:ascii="Lucida Sans Unicode" w:eastAsia="Lucida Sans Unicode" w:hAnsi="Lucida Sans Unicode" w:cstheme="minorBidi"/>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2403</Words>
  <Characters>1371</Characters>
  <Application>Microsoft Office Word</Application>
  <DocSecurity>0</DocSecurity>
  <Lines>11</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2020-08-06T07:51:00Z</dcterms:created>
  <dcterms:modified xsi:type="dcterms:W3CDTF">2020-08-06T13:32:00Z</dcterms:modified>
</cp:coreProperties>
</file>