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5C8AF" w14:textId="29523E62" w:rsidR="002B16D2" w:rsidRPr="008357B5" w:rsidRDefault="002B16D2" w:rsidP="00CC2ED6">
      <w:pPr>
        <w:tabs>
          <w:tab w:val="left" w:pos="3828"/>
        </w:tabs>
        <w:ind w:firstLine="567"/>
        <w:jc w:val="center"/>
        <w:rPr>
          <w:rFonts w:ascii="Arial" w:hAnsi="Arial" w:cs="Arial"/>
          <w:b/>
          <w:color w:val="auto"/>
          <w:sz w:val="22"/>
          <w:szCs w:val="22"/>
        </w:rPr>
      </w:pPr>
      <w:r w:rsidRPr="008357B5">
        <w:rPr>
          <w:rFonts w:ascii="Arial" w:hAnsi="Arial" w:cs="Arial"/>
          <w:b/>
          <w:color w:val="auto"/>
          <w:sz w:val="22"/>
          <w:szCs w:val="22"/>
        </w:rPr>
        <w:t xml:space="preserve">PASLAUGŲ PIRKIMO TECHNINĖ SPECIFIKACIJA </w:t>
      </w:r>
    </w:p>
    <w:p w14:paraId="4CB0CE98" w14:textId="77777777" w:rsidR="002B16D2" w:rsidRPr="008357B5" w:rsidRDefault="002B16D2" w:rsidP="00CC2ED6">
      <w:pPr>
        <w:pStyle w:val="Heading40"/>
        <w:keepNext/>
        <w:keepLines/>
        <w:shd w:val="clear" w:color="auto" w:fill="auto"/>
        <w:tabs>
          <w:tab w:val="left" w:pos="3828"/>
        </w:tabs>
        <w:spacing w:before="0" w:after="0" w:line="240" w:lineRule="auto"/>
        <w:ind w:right="55" w:firstLine="567"/>
        <w:jc w:val="left"/>
        <w:rPr>
          <w:rFonts w:ascii="Arial" w:hAnsi="Arial" w:cs="Arial"/>
          <w:sz w:val="22"/>
          <w:szCs w:val="22"/>
        </w:rPr>
      </w:pPr>
    </w:p>
    <w:p w14:paraId="35F28213" w14:textId="77777777" w:rsidR="002B16D2" w:rsidRPr="008357B5" w:rsidRDefault="002B16D2" w:rsidP="00CC2ED6">
      <w:pPr>
        <w:pStyle w:val="Bodytext1"/>
        <w:shd w:val="clear" w:color="auto" w:fill="auto"/>
        <w:tabs>
          <w:tab w:val="left" w:pos="142"/>
          <w:tab w:val="left" w:pos="3828"/>
        </w:tabs>
        <w:spacing w:before="0" w:after="0" w:line="240" w:lineRule="auto"/>
        <w:ind w:right="55" w:firstLine="0"/>
        <w:jc w:val="both"/>
        <w:rPr>
          <w:rFonts w:ascii="Arial" w:hAnsi="Arial" w:cs="Arial"/>
          <w:b/>
          <w:sz w:val="22"/>
          <w:szCs w:val="22"/>
        </w:rPr>
      </w:pPr>
      <w:r w:rsidRPr="008357B5">
        <w:rPr>
          <w:rFonts w:ascii="Arial" w:hAnsi="Arial" w:cs="Arial"/>
          <w:b/>
          <w:sz w:val="22"/>
          <w:szCs w:val="22"/>
        </w:rPr>
        <w:t>1. PIRKIMO OBJEKTAS</w:t>
      </w:r>
    </w:p>
    <w:p w14:paraId="24B9E895" w14:textId="00E5728B" w:rsidR="002B16D2" w:rsidRPr="008357B5" w:rsidRDefault="00FD20D9" w:rsidP="00FD20D9">
      <w:pPr>
        <w:spacing w:after="120"/>
        <w:jc w:val="both"/>
        <w:rPr>
          <w:rFonts w:ascii="Arial" w:hAnsi="Arial" w:cs="Arial"/>
          <w:sz w:val="22"/>
          <w:szCs w:val="22"/>
        </w:rPr>
      </w:pPr>
      <w:r w:rsidRPr="008357B5">
        <w:rPr>
          <w:rFonts w:ascii="Arial" w:hAnsi="Arial" w:cs="Arial"/>
          <w:sz w:val="22"/>
          <w:szCs w:val="22"/>
        </w:rPr>
        <w:t>Finansinių ataskaitų audito</w:t>
      </w:r>
      <w:r w:rsidR="00D10463" w:rsidRPr="008357B5">
        <w:rPr>
          <w:rFonts w:ascii="Arial" w:hAnsi="Arial" w:cs="Arial"/>
          <w:sz w:val="22"/>
          <w:szCs w:val="22"/>
        </w:rPr>
        <w:t xml:space="preserve"> ir reguliuojamosios veiklos ataskaitų patikros</w:t>
      </w:r>
      <w:r w:rsidRPr="008357B5">
        <w:rPr>
          <w:rFonts w:ascii="Arial" w:hAnsi="Arial" w:cs="Arial"/>
          <w:sz w:val="22"/>
          <w:szCs w:val="22"/>
        </w:rPr>
        <w:t xml:space="preserve"> paslaugos. Pirkimo objektas į pirkimo objekto dalis neskaidomas.</w:t>
      </w:r>
    </w:p>
    <w:p w14:paraId="0B1C54B4" w14:textId="77777777" w:rsidR="002B16D2" w:rsidRPr="008357B5"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Arial" w:hAnsi="Arial" w:cs="Arial"/>
          <w:b/>
          <w:i/>
          <w:iCs/>
          <w:sz w:val="22"/>
          <w:szCs w:val="22"/>
        </w:rPr>
      </w:pPr>
      <w:r w:rsidRPr="008357B5">
        <w:rPr>
          <w:rStyle w:val="Bodytext2NotItalic2"/>
          <w:rFonts w:ascii="Arial" w:hAnsi="Arial" w:cs="Arial"/>
          <w:b/>
          <w:sz w:val="22"/>
          <w:szCs w:val="22"/>
        </w:rPr>
        <w:t xml:space="preserve">2. PIRKIMO OBJEKTO PRITAIKYMO SRITIS </w:t>
      </w:r>
    </w:p>
    <w:p w14:paraId="58EA362F" w14:textId="0793104A" w:rsidR="002B16D2" w:rsidRPr="008357B5" w:rsidRDefault="00CA511D" w:rsidP="00FD20D9">
      <w:pPr>
        <w:pStyle w:val="Bodytext20"/>
        <w:shd w:val="clear" w:color="auto" w:fill="auto"/>
        <w:tabs>
          <w:tab w:val="left" w:pos="0"/>
          <w:tab w:val="left" w:pos="3828"/>
        </w:tabs>
        <w:spacing w:line="240" w:lineRule="auto"/>
        <w:ind w:right="55" w:firstLine="0"/>
        <w:jc w:val="both"/>
        <w:rPr>
          <w:rFonts w:ascii="Arial" w:hAnsi="Arial" w:cs="Arial"/>
          <w:i w:val="0"/>
          <w:sz w:val="22"/>
          <w:szCs w:val="22"/>
        </w:rPr>
      </w:pPr>
      <w:r w:rsidRPr="008357B5">
        <w:rPr>
          <w:rFonts w:ascii="Arial" w:hAnsi="Arial" w:cs="Arial"/>
          <w:i w:val="0"/>
          <w:sz w:val="22"/>
          <w:szCs w:val="22"/>
        </w:rPr>
        <w:t xml:space="preserve">Audito rezultatas </w:t>
      </w:r>
      <w:r w:rsidR="009D1CBA" w:rsidRPr="008357B5">
        <w:rPr>
          <w:rFonts w:ascii="Arial" w:hAnsi="Arial" w:cs="Arial"/>
          <w:i w:val="0"/>
          <w:sz w:val="22"/>
          <w:szCs w:val="22"/>
        </w:rPr>
        <w:t xml:space="preserve">- </w:t>
      </w:r>
      <w:r w:rsidRPr="008357B5">
        <w:rPr>
          <w:rFonts w:ascii="Arial" w:hAnsi="Arial" w:cs="Arial"/>
          <w:i w:val="0"/>
          <w:sz w:val="22"/>
          <w:szCs w:val="22"/>
        </w:rPr>
        <w:t>nepriklausomo audito išva</w:t>
      </w:r>
      <w:r w:rsidR="009D1CBA" w:rsidRPr="008357B5">
        <w:rPr>
          <w:rFonts w:ascii="Arial" w:hAnsi="Arial" w:cs="Arial"/>
          <w:i w:val="0"/>
          <w:sz w:val="22"/>
          <w:szCs w:val="22"/>
        </w:rPr>
        <w:t>da</w:t>
      </w:r>
      <w:r w:rsidRPr="008357B5">
        <w:rPr>
          <w:rFonts w:ascii="Arial" w:hAnsi="Arial" w:cs="Arial"/>
          <w:i w:val="0"/>
          <w:sz w:val="22"/>
          <w:szCs w:val="22"/>
        </w:rPr>
        <w:t xml:space="preserve"> apie</w:t>
      </w:r>
      <w:r w:rsidR="008D132E" w:rsidRPr="008357B5">
        <w:rPr>
          <w:rFonts w:ascii="Arial" w:hAnsi="Arial" w:cs="Arial"/>
          <w:i w:val="0"/>
          <w:sz w:val="22"/>
          <w:szCs w:val="22"/>
        </w:rPr>
        <w:t xml:space="preserve"> AB Vilniaus šilumos tinklų (toliau –</w:t>
      </w:r>
      <w:r w:rsidRPr="008357B5">
        <w:rPr>
          <w:rFonts w:ascii="Arial" w:hAnsi="Arial" w:cs="Arial"/>
          <w:i w:val="0"/>
          <w:sz w:val="22"/>
          <w:szCs w:val="22"/>
        </w:rPr>
        <w:t xml:space="preserve"> Bendrovė</w:t>
      </w:r>
      <w:r w:rsidR="008D132E" w:rsidRPr="008357B5">
        <w:rPr>
          <w:rFonts w:ascii="Arial" w:hAnsi="Arial" w:cs="Arial"/>
          <w:i w:val="0"/>
          <w:sz w:val="22"/>
          <w:szCs w:val="22"/>
        </w:rPr>
        <w:t>)</w:t>
      </w:r>
      <w:r w:rsidRPr="008357B5">
        <w:rPr>
          <w:rFonts w:ascii="Arial" w:hAnsi="Arial" w:cs="Arial"/>
          <w:i w:val="0"/>
          <w:sz w:val="22"/>
          <w:szCs w:val="22"/>
        </w:rPr>
        <w:t xml:space="preserve"> 2020</w:t>
      </w:r>
      <w:r w:rsidR="009D1CBA" w:rsidRPr="008357B5">
        <w:rPr>
          <w:rFonts w:ascii="Arial" w:hAnsi="Arial" w:cs="Arial"/>
          <w:i w:val="0"/>
          <w:sz w:val="22"/>
          <w:szCs w:val="22"/>
        </w:rPr>
        <w:t xml:space="preserve"> </w:t>
      </w:r>
      <w:r w:rsidR="00F16934" w:rsidRPr="008357B5">
        <w:rPr>
          <w:rFonts w:ascii="Arial" w:hAnsi="Arial" w:cs="Arial"/>
          <w:i w:val="0"/>
          <w:sz w:val="22"/>
          <w:szCs w:val="22"/>
        </w:rPr>
        <w:t>m. ir</w:t>
      </w:r>
      <w:r w:rsidR="009D1CBA" w:rsidRPr="008357B5">
        <w:rPr>
          <w:rFonts w:ascii="Arial" w:hAnsi="Arial" w:cs="Arial"/>
          <w:i w:val="0"/>
          <w:sz w:val="22"/>
          <w:szCs w:val="22"/>
        </w:rPr>
        <w:t xml:space="preserve"> </w:t>
      </w:r>
      <w:r w:rsidRPr="008357B5">
        <w:rPr>
          <w:rFonts w:ascii="Arial" w:hAnsi="Arial" w:cs="Arial"/>
          <w:i w:val="0"/>
          <w:sz w:val="22"/>
          <w:szCs w:val="22"/>
        </w:rPr>
        <w:t>2021 m. finansines ataskaitas, audito ataskaitą bei nepriklausomo auditoriaus</w:t>
      </w:r>
      <w:r w:rsidR="000F2C67" w:rsidRPr="008357B5">
        <w:rPr>
          <w:rFonts w:ascii="Arial" w:hAnsi="Arial" w:cs="Arial"/>
          <w:i w:val="0"/>
          <w:sz w:val="22"/>
          <w:szCs w:val="22"/>
        </w:rPr>
        <w:t xml:space="preserve"> patikros ataskai</w:t>
      </w:r>
      <w:r w:rsidR="00663F80" w:rsidRPr="008357B5">
        <w:rPr>
          <w:rFonts w:ascii="Arial" w:hAnsi="Arial" w:cs="Arial"/>
          <w:i w:val="0"/>
          <w:sz w:val="22"/>
          <w:szCs w:val="22"/>
        </w:rPr>
        <w:t>ta</w:t>
      </w:r>
      <w:r w:rsidRPr="008357B5">
        <w:rPr>
          <w:rFonts w:ascii="Arial" w:hAnsi="Arial" w:cs="Arial"/>
          <w:i w:val="0"/>
          <w:sz w:val="22"/>
          <w:szCs w:val="22"/>
        </w:rPr>
        <w:t xml:space="preserve"> apie Bendrovės 2020</w:t>
      </w:r>
      <w:r w:rsidR="004E42E8" w:rsidRPr="008357B5">
        <w:rPr>
          <w:rFonts w:ascii="Arial" w:hAnsi="Arial" w:cs="Arial"/>
          <w:i w:val="0"/>
          <w:sz w:val="22"/>
          <w:szCs w:val="22"/>
        </w:rPr>
        <w:t xml:space="preserve"> </w:t>
      </w:r>
      <w:r w:rsidR="00F16934" w:rsidRPr="008357B5">
        <w:rPr>
          <w:rFonts w:ascii="Arial" w:hAnsi="Arial" w:cs="Arial"/>
          <w:i w:val="0"/>
          <w:sz w:val="22"/>
          <w:szCs w:val="22"/>
        </w:rPr>
        <w:t xml:space="preserve">m. ir </w:t>
      </w:r>
      <w:r w:rsidR="004E42E8" w:rsidRPr="008357B5">
        <w:rPr>
          <w:rFonts w:ascii="Arial" w:hAnsi="Arial" w:cs="Arial"/>
          <w:i w:val="0"/>
          <w:sz w:val="22"/>
          <w:szCs w:val="22"/>
        </w:rPr>
        <w:t xml:space="preserve"> </w:t>
      </w:r>
      <w:r w:rsidRPr="008357B5">
        <w:rPr>
          <w:rFonts w:ascii="Arial" w:hAnsi="Arial" w:cs="Arial"/>
          <w:i w:val="0"/>
          <w:sz w:val="22"/>
          <w:szCs w:val="22"/>
        </w:rPr>
        <w:t>2021 m. reguliuojamos veiklos ataskaitas.</w:t>
      </w:r>
    </w:p>
    <w:p w14:paraId="2779FBC0" w14:textId="77777777" w:rsidR="00921869" w:rsidRPr="008357B5" w:rsidRDefault="00921869" w:rsidP="00FD20D9">
      <w:pPr>
        <w:pStyle w:val="Bodytext20"/>
        <w:shd w:val="clear" w:color="auto" w:fill="auto"/>
        <w:tabs>
          <w:tab w:val="left" w:pos="0"/>
          <w:tab w:val="left" w:pos="3828"/>
        </w:tabs>
        <w:spacing w:line="240" w:lineRule="auto"/>
        <w:ind w:right="55" w:firstLine="0"/>
        <w:jc w:val="both"/>
        <w:rPr>
          <w:rFonts w:ascii="Arial" w:hAnsi="Arial" w:cs="Arial"/>
          <w:sz w:val="22"/>
          <w:szCs w:val="22"/>
        </w:rPr>
      </w:pPr>
    </w:p>
    <w:p w14:paraId="11FE60FF" w14:textId="77777777" w:rsidR="0067505B" w:rsidRPr="008357B5" w:rsidRDefault="002B16D2" w:rsidP="00FB2DE6">
      <w:pPr>
        <w:tabs>
          <w:tab w:val="left" w:pos="720"/>
        </w:tabs>
        <w:jc w:val="both"/>
        <w:rPr>
          <w:rFonts w:ascii="Arial" w:hAnsi="Arial" w:cs="Arial"/>
          <w:b/>
          <w:sz w:val="22"/>
          <w:szCs w:val="22"/>
        </w:rPr>
      </w:pPr>
      <w:r w:rsidRPr="008357B5">
        <w:rPr>
          <w:rFonts w:ascii="Arial" w:hAnsi="Arial" w:cs="Arial"/>
          <w:b/>
          <w:sz w:val="22"/>
          <w:szCs w:val="22"/>
        </w:rPr>
        <w:t xml:space="preserve">3. </w:t>
      </w:r>
      <w:r w:rsidR="0041314D" w:rsidRPr="008357B5">
        <w:rPr>
          <w:rFonts w:ascii="Arial" w:hAnsi="Arial" w:cs="Arial"/>
          <w:b/>
          <w:sz w:val="22"/>
          <w:szCs w:val="22"/>
        </w:rPr>
        <w:t>TECHNINIAI REIKALAVIMAI</w:t>
      </w:r>
      <w:r w:rsidRPr="008357B5">
        <w:rPr>
          <w:rFonts w:ascii="Arial" w:hAnsi="Arial" w:cs="Arial"/>
          <w:b/>
          <w:sz w:val="22"/>
          <w:szCs w:val="22"/>
        </w:rPr>
        <w:t>, KURIUOS TURI ATITIKTI PERKAMOS PASLAUGOS</w:t>
      </w:r>
    </w:p>
    <w:p w14:paraId="06DA4671" w14:textId="380C12A2" w:rsidR="00FB2DE6" w:rsidRPr="008357B5" w:rsidRDefault="00FB2DE6" w:rsidP="00FB2DE6">
      <w:pPr>
        <w:tabs>
          <w:tab w:val="left" w:pos="720"/>
        </w:tabs>
        <w:jc w:val="both"/>
        <w:rPr>
          <w:rFonts w:ascii="Arial" w:hAnsi="Arial" w:cs="Arial"/>
          <w:sz w:val="22"/>
          <w:szCs w:val="22"/>
        </w:rPr>
      </w:pPr>
      <w:r w:rsidRPr="008357B5">
        <w:rPr>
          <w:rFonts w:ascii="Arial" w:hAnsi="Arial" w:cs="Arial"/>
          <w:sz w:val="22"/>
          <w:szCs w:val="22"/>
        </w:rPr>
        <w:t xml:space="preserve">3.1.1. Bendrovėje turi būti atliktas metinių finansinių ataskaitų auditas pagal </w:t>
      </w:r>
      <w:r w:rsidR="00431185">
        <w:rPr>
          <w:rFonts w:ascii="Arial" w:hAnsi="Arial" w:cs="Arial"/>
          <w:sz w:val="22"/>
          <w:szCs w:val="22"/>
        </w:rPr>
        <w:t xml:space="preserve">aktualios redakcijos </w:t>
      </w:r>
      <w:r w:rsidRPr="008357B5">
        <w:rPr>
          <w:rFonts w:ascii="Arial" w:hAnsi="Arial" w:cs="Arial"/>
          <w:sz w:val="22"/>
          <w:szCs w:val="22"/>
        </w:rPr>
        <w:t xml:space="preserve">Lietuvos Respublikos įmonių finansinės atskaitomybės įstatymo 24 straipsnį bei </w:t>
      </w:r>
      <w:r w:rsidRPr="008357B5">
        <w:rPr>
          <w:rFonts w:ascii="Arial" w:eastAsia="Calibri" w:hAnsi="Arial" w:cs="Arial"/>
          <w:sz w:val="22"/>
          <w:szCs w:val="22"/>
        </w:rPr>
        <w:t>Lietuvos Respublikos energetikos įstatymo 16 straipsnio 8 dalį.</w:t>
      </w:r>
    </w:p>
    <w:p w14:paraId="598FF62F" w14:textId="3797EF09" w:rsidR="00E75587" w:rsidRPr="008357B5" w:rsidRDefault="00FB2DE6" w:rsidP="00FB2DE6">
      <w:pPr>
        <w:tabs>
          <w:tab w:val="left" w:pos="720"/>
        </w:tabs>
        <w:jc w:val="both"/>
        <w:rPr>
          <w:rFonts w:ascii="Arial" w:hAnsi="Arial" w:cs="Arial"/>
          <w:sz w:val="22"/>
          <w:szCs w:val="22"/>
        </w:rPr>
      </w:pPr>
      <w:r w:rsidRPr="008357B5">
        <w:rPr>
          <w:rFonts w:ascii="Arial" w:hAnsi="Arial" w:cs="Arial"/>
          <w:sz w:val="22"/>
          <w:szCs w:val="22"/>
        </w:rPr>
        <w:t xml:space="preserve">3.1.2. Vadovaujantis </w:t>
      </w:r>
      <w:r w:rsidR="00431185">
        <w:rPr>
          <w:rFonts w:ascii="Arial" w:hAnsi="Arial" w:cs="Arial"/>
          <w:sz w:val="22"/>
          <w:szCs w:val="22"/>
        </w:rPr>
        <w:t xml:space="preserve">aktualios redakcijos </w:t>
      </w:r>
      <w:r w:rsidRPr="008357B5">
        <w:rPr>
          <w:rFonts w:ascii="Arial" w:hAnsi="Arial" w:cs="Arial"/>
          <w:sz w:val="22"/>
          <w:szCs w:val="22"/>
        </w:rPr>
        <w:t xml:space="preserve">Lietuvos Respublikos finansinių ataskaitų audito įstatymo 38 straipsnio 4 ir 5 dalimis, kartu su auditoriaus išvada turi būti pateikiama ir audito ataskaita. </w:t>
      </w:r>
    </w:p>
    <w:p w14:paraId="2D74A67D" w14:textId="0A474D97" w:rsidR="00E75587" w:rsidRPr="008357B5" w:rsidRDefault="00E75587" w:rsidP="00E75587">
      <w:pPr>
        <w:tabs>
          <w:tab w:val="left" w:pos="720"/>
        </w:tabs>
        <w:jc w:val="both"/>
        <w:rPr>
          <w:rFonts w:ascii="Arial" w:hAnsi="Arial" w:cs="Arial"/>
          <w:sz w:val="22"/>
          <w:szCs w:val="22"/>
        </w:rPr>
      </w:pPr>
      <w:r w:rsidRPr="008357B5">
        <w:rPr>
          <w:rFonts w:ascii="Arial" w:hAnsi="Arial" w:cs="Arial"/>
          <w:sz w:val="22"/>
          <w:szCs w:val="22"/>
        </w:rPr>
        <w:t xml:space="preserve">3.1.3. </w:t>
      </w:r>
      <w:r w:rsidR="00FB2DE6" w:rsidRPr="008357B5">
        <w:rPr>
          <w:rFonts w:ascii="Arial" w:hAnsi="Arial" w:cs="Arial"/>
          <w:sz w:val="22"/>
          <w:szCs w:val="22"/>
        </w:rPr>
        <w:t xml:space="preserve">Vadovaujantis </w:t>
      </w:r>
      <w:r w:rsidR="00431185">
        <w:rPr>
          <w:rFonts w:ascii="Arial" w:hAnsi="Arial" w:cs="Arial"/>
          <w:sz w:val="22"/>
          <w:szCs w:val="22"/>
        </w:rPr>
        <w:t xml:space="preserve">aktualios redakcijos </w:t>
      </w:r>
      <w:r w:rsidR="00FB2DE6" w:rsidRPr="008357B5">
        <w:rPr>
          <w:rFonts w:ascii="Arial" w:hAnsi="Arial" w:cs="Arial"/>
          <w:sz w:val="22"/>
          <w:szCs w:val="22"/>
        </w:rPr>
        <w:t>Lietuvos Respublikos finansinių ataskaitų audito įstatymo 2 straipsnio 32 dalies 9 punktu, Bendrovė atitinka viešojo intereso įmonės sąvoką.</w:t>
      </w:r>
    </w:p>
    <w:p w14:paraId="405674AA" w14:textId="193048D9" w:rsidR="00E75587" w:rsidRPr="008357B5" w:rsidRDefault="00E75587" w:rsidP="00E75587">
      <w:pPr>
        <w:tabs>
          <w:tab w:val="left" w:pos="720"/>
        </w:tabs>
        <w:jc w:val="both"/>
        <w:rPr>
          <w:rFonts w:ascii="Arial" w:hAnsi="Arial" w:cs="Arial"/>
          <w:sz w:val="22"/>
          <w:szCs w:val="22"/>
        </w:rPr>
      </w:pPr>
      <w:r w:rsidRPr="008357B5">
        <w:rPr>
          <w:rFonts w:ascii="Arial" w:eastAsia="Calibri" w:hAnsi="Arial" w:cs="Arial"/>
          <w:sz w:val="22"/>
          <w:szCs w:val="22"/>
        </w:rPr>
        <w:t xml:space="preserve">3.1.4.  </w:t>
      </w:r>
      <w:r w:rsidR="00FB2DE6" w:rsidRPr="008357B5">
        <w:rPr>
          <w:rFonts w:ascii="Arial" w:eastAsia="Calibri" w:hAnsi="Arial" w:cs="Arial"/>
          <w:sz w:val="22"/>
          <w:szCs w:val="22"/>
        </w:rPr>
        <w:t>Bendrovė finansines ataskaitas už metus, pasibaigusius 20</w:t>
      </w:r>
      <w:r w:rsidR="00C92692" w:rsidRPr="008357B5">
        <w:rPr>
          <w:rFonts w:ascii="Arial" w:eastAsia="Calibri" w:hAnsi="Arial" w:cs="Arial"/>
          <w:sz w:val="22"/>
          <w:szCs w:val="22"/>
        </w:rPr>
        <w:t>20</w:t>
      </w:r>
      <w:r w:rsidR="00FB2DE6" w:rsidRPr="008357B5">
        <w:rPr>
          <w:rFonts w:ascii="Arial" w:eastAsia="Calibri" w:hAnsi="Arial" w:cs="Arial"/>
          <w:sz w:val="22"/>
          <w:szCs w:val="22"/>
        </w:rPr>
        <w:t xml:space="preserve"> m. ir 20</w:t>
      </w:r>
      <w:r w:rsidR="00C92692" w:rsidRPr="008357B5">
        <w:rPr>
          <w:rFonts w:ascii="Arial" w:eastAsia="Calibri" w:hAnsi="Arial" w:cs="Arial"/>
          <w:sz w:val="22"/>
          <w:szCs w:val="22"/>
        </w:rPr>
        <w:t>21</w:t>
      </w:r>
      <w:r w:rsidR="00FB2DE6" w:rsidRPr="008357B5">
        <w:rPr>
          <w:rFonts w:ascii="Arial" w:eastAsia="Calibri" w:hAnsi="Arial" w:cs="Arial"/>
          <w:sz w:val="22"/>
          <w:szCs w:val="22"/>
        </w:rPr>
        <w:t xml:space="preserve"> m.</w:t>
      </w:r>
      <w:r w:rsidR="0067505B" w:rsidRPr="008357B5">
        <w:rPr>
          <w:rFonts w:ascii="Arial" w:eastAsia="Calibri" w:hAnsi="Arial" w:cs="Arial"/>
          <w:sz w:val="22"/>
          <w:szCs w:val="22"/>
        </w:rPr>
        <w:t>,</w:t>
      </w:r>
      <w:r w:rsidR="00FB2DE6" w:rsidRPr="008357B5">
        <w:rPr>
          <w:rFonts w:ascii="Arial" w:eastAsia="Calibri" w:hAnsi="Arial" w:cs="Arial"/>
          <w:sz w:val="22"/>
          <w:szCs w:val="22"/>
        </w:rPr>
        <w:t xml:space="preserve"> gruodžio 31 d., rengs laikydamasi </w:t>
      </w:r>
      <w:r w:rsidR="008D132E" w:rsidRPr="008357B5">
        <w:rPr>
          <w:rFonts w:ascii="Arial" w:eastAsia="Calibri" w:hAnsi="Arial" w:cs="Arial"/>
          <w:sz w:val="22"/>
          <w:szCs w:val="22"/>
        </w:rPr>
        <w:t>Tarptautinių finansinės atskaitomybės standartų (toliau – TFAS)</w:t>
      </w:r>
      <w:r w:rsidR="00FB2DE6" w:rsidRPr="008357B5">
        <w:rPr>
          <w:rFonts w:ascii="Arial" w:eastAsia="Calibri" w:hAnsi="Arial" w:cs="Arial"/>
          <w:sz w:val="22"/>
          <w:szCs w:val="22"/>
        </w:rPr>
        <w:t>. TFAS pirmą kartą pradėti taikyti rengiant finansines ataskaitas už metus, pasibaigusius 2016 m. gruodžio 31 d.</w:t>
      </w:r>
    </w:p>
    <w:p w14:paraId="3EA7ECF9" w14:textId="331B0CDA" w:rsidR="00EF41B7" w:rsidRPr="008357B5" w:rsidRDefault="00E75587" w:rsidP="00C92692">
      <w:pPr>
        <w:tabs>
          <w:tab w:val="left" w:pos="720"/>
        </w:tabs>
        <w:jc w:val="both"/>
        <w:rPr>
          <w:rFonts w:ascii="Arial" w:hAnsi="Arial" w:cs="Arial"/>
          <w:i/>
          <w:sz w:val="22"/>
          <w:szCs w:val="22"/>
        </w:rPr>
      </w:pPr>
      <w:r w:rsidRPr="008357B5">
        <w:rPr>
          <w:rFonts w:ascii="Arial" w:eastAsia="Calibri" w:hAnsi="Arial" w:cs="Arial"/>
          <w:sz w:val="22"/>
          <w:szCs w:val="22"/>
        </w:rPr>
        <w:t xml:space="preserve">3.1.5. </w:t>
      </w:r>
      <w:r w:rsidR="00FB2DE6" w:rsidRPr="008357B5">
        <w:rPr>
          <w:rFonts w:ascii="Arial" w:eastAsia="Calibri" w:hAnsi="Arial" w:cs="Arial"/>
          <w:sz w:val="22"/>
          <w:szCs w:val="22"/>
        </w:rPr>
        <w:t xml:space="preserve">Bendrovė šilumos tiekimo veiklą vykdo </w:t>
      </w:r>
      <w:r w:rsidR="00FB2DE6" w:rsidRPr="008357B5">
        <w:rPr>
          <w:rStyle w:val="Laukeliai"/>
          <w:rFonts w:cs="Arial"/>
          <w:sz w:val="22"/>
          <w:szCs w:val="22"/>
        </w:rPr>
        <w:t xml:space="preserve">Valstybinės </w:t>
      </w:r>
      <w:r w:rsidR="00524C24" w:rsidRPr="008357B5">
        <w:rPr>
          <w:rStyle w:val="Laukeliai"/>
          <w:rFonts w:cs="Arial"/>
          <w:sz w:val="22"/>
          <w:szCs w:val="22"/>
        </w:rPr>
        <w:t>energetikos reguliavimo tarybos</w:t>
      </w:r>
      <w:r w:rsidR="00FB2DE6" w:rsidRPr="008357B5">
        <w:rPr>
          <w:rStyle w:val="Laukeliai"/>
          <w:rFonts w:cs="Arial"/>
          <w:sz w:val="22"/>
          <w:szCs w:val="22"/>
        </w:rPr>
        <w:t xml:space="preserve"> (toliau – </w:t>
      </w:r>
      <w:r w:rsidR="00524C24" w:rsidRPr="008357B5">
        <w:rPr>
          <w:rFonts w:ascii="Arial" w:eastAsia="Calibri" w:hAnsi="Arial" w:cs="Arial"/>
          <w:sz w:val="22"/>
          <w:szCs w:val="22"/>
        </w:rPr>
        <w:t>Taryba</w:t>
      </w:r>
      <w:r w:rsidR="00FB2DE6" w:rsidRPr="008357B5">
        <w:rPr>
          <w:rFonts w:ascii="Arial" w:eastAsia="Calibri" w:hAnsi="Arial" w:cs="Arial"/>
          <w:sz w:val="22"/>
          <w:szCs w:val="22"/>
        </w:rPr>
        <w:t xml:space="preserve">) 2017 m. kovo 30 d. nutarimu Nr. O3-102 „Dėl energetikos veiklos licencijos akcinei bendrovei </w:t>
      </w:r>
      <w:r w:rsidR="00981F58" w:rsidRPr="008357B5">
        <w:rPr>
          <w:rFonts w:ascii="Arial" w:eastAsia="Calibri" w:hAnsi="Arial" w:cs="Arial"/>
          <w:sz w:val="22"/>
          <w:szCs w:val="22"/>
        </w:rPr>
        <w:t>„</w:t>
      </w:r>
      <w:r w:rsidR="00FB2DE6" w:rsidRPr="008357B5">
        <w:rPr>
          <w:rFonts w:ascii="Arial" w:eastAsia="Calibri" w:hAnsi="Arial" w:cs="Arial"/>
          <w:sz w:val="22"/>
          <w:szCs w:val="22"/>
        </w:rPr>
        <w:t xml:space="preserve">Vilniaus šilumos tinklai išdavimo“ išduotos energetikos veiklos licencijos pagrindu. Atitinkamai, Bendrovė turi prievolę numatyta tvarka ir terminais teikti </w:t>
      </w:r>
      <w:r w:rsidR="00524C24" w:rsidRPr="008357B5">
        <w:rPr>
          <w:rFonts w:ascii="Arial" w:eastAsia="Calibri" w:hAnsi="Arial" w:cs="Arial"/>
          <w:sz w:val="22"/>
          <w:szCs w:val="22"/>
        </w:rPr>
        <w:t xml:space="preserve">Tarybai </w:t>
      </w:r>
      <w:r w:rsidR="00FB2DE6" w:rsidRPr="008357B5">
        <w:rPr>
          <w:rFonts w:ascii="Arial" w:eastAsia="Calibri" w:hAnsi="Arial" w:cs="Arial"/>
          <w:sz w:val="22"/>
          <w:szCs w:val="22"/>
        </w:rPr>
        <w:t>nustatytos formos ir turinio ataskaitas apie reguliuojamos veiklos vykdymą.</w:t>
      </w:r>
      <w:r w:rsidR="00FB2DE6" w:rsidRPr="008357B5">
        <w:rPr>
          <w:rFonts w:ascii="Arial" w:eastAsia="Calibri" w:hAnsi="Arial" w:cs="Arial"/>
          <w:i/>
          <w:sz w:val="22"/>
          <w:szCs w:val="22"/>
        </w:rPr>
        <w:t xml:space="preserve"> </w:t>
      </w:r>
    </w:p>
    <w:p w14:paraId="29F7E19D" w14:textId="77777777" w:rsidR="00745E4F" w:rsidRPr="008357B5" w:rsidRDefault="00745E4F" w:rsidP="00D47E14">
      <w:pPr>
        <w:pStyle w:val="Bodytext20"/>
        <w:shd w:val="clear" w:color="auto" w:fill="auto"/>
        <w:tabs>
          <w:tab w:val="left" w:pos="0"/>
          <w:tab w:val="left" w:pos="3828"/>
        </w:tabs>
        <w:spacing w:line="240" w:lineRule="auto"/>
        <w:ind w:right="55" w:firstLine="0"/>
        <w:jc w:val="both"/>
        <w:rPr>
          <w:rFonts w:ascii="Arial" w:hAnsi="Arial" w:cs="Arial"/>
          <w:sz w:val="22"/>
          <w:szCs w:val="22"/>
        </w:rPr>
      </w:pPr>
    </w:p>
    <w:p w14:paraId="1A21630F" w14:textId="05E37805" w:rsidR="002B16D2" w:rsidRPr="008357B5" w:rsidRDefault="00826491" w:rsidP="00D47E14">
      <w:pPr>
        <w:pStyle w:val="Bodytext20"/>
        <w:shd w:val="clear" w:color="auto" w:fill="auto"/>
        <w:tabs>
          <w:tab w:val="left" w:pos="0"/>
          <w:tab w:val="left" w:pos="3828"/>
        </w:tabs>
        <w:spacing w:line="240" w:lineRule="auto"/>
        <w:ind w:right="55" w:firstLine="0"/>
        <w:jc w:val="both"/>
        <w:rPr>
          <w:rFonts w:ascii="Arial" w:hAnsi="Arial" w:cs="Arial"/>
          <w:i w:val="0"/>
          <w:sz w:val="22"/>
          <w:szCs w:val="22"/>
        </w:rPr>
      </w:pPr>
      <w:r w:rsidRPr="008357B5">
        <w:rPr>
          <w:rFonts w:ascii="Arial" w:hAnsi="Arial" w:cs="Arial"/>
          <w:i w:val="0"/>
          <w:sz w:val="22"/>
          <w:szCs w:val="22"/>
        </w:rPr>
        <w:t xml:space="preserve">3.2. </w:t>
      </w:r>
      <w:r w:rsidR="002B16D2" w:rsidRPr="008357B5">
        <w:rPr>
          <w:rFonts w:ascii="Arial" w:hAnsi="Arial" w:cs="Arial"/>
          <w:i w:val="0"/>
          <w:sz w:val="22"/>
          <w:szCs w:val="22"/>
        </w:rPr>
        <w:t xml:space="preserve">PIRKIMO OBJEKTO SAVYBĖS </w:t>
      </w:r>
    </w:p>
    <w:p w14:paraId="0002E7F1" w14:textId="799C3BCB" w:rsidR="00CC4294" w:rsidRPr="008357B5" w:rsidRDefault="00CC4294" w:rsidP="00CC4294">
      <w:pPr>
        <w:pStyle w:val="ListParagraph"/>
        <w:tabs>
          <w:tab w:val="left" w:pos="709"/>
        </w:tabs>
        <w:ind w:left="0"/>
        <w:jc w:val="both"/>
        <w:rPr>
          <w:rFonts w:ascii="Arial" w:eastAsia="Calibri" w:hAnsi="Arial" w:cs="Arial"/>
        </w:rPr>
      </w:pPr>
      <w:r w:rsidRPr="008357B5">
        <w:rPr>
          <w:rFonts w:ascii="Arial" w:eastAsia="Calibri" w:hAnsi="Arial" w:cs="Arial"/>
        </w:rPr>
        <w:t xml:space="preserve">3.2.1. </w:t>
      </w:r>
      <w:r w:rsidR="006A028A" w:rsidRPr="008357B5">
        <w:rPr>
          <w:rFonts w:ascii="Arial" w:eastAsia="Calibri" w:hAnsi="Arial" w:cs="Arial"/>
        </w:rPr>
        <w:t xml:space="preserve">Audito paslaugų teikėjas </w:t>
      </w:r>
      <w:r w:rsidR="00296888" w:rsidRPr="008357B5">
        <w:rPr>
          <w:rFonts w:ascii="Arial" w:eastAsia="Calibri" w:hAnsi="Arial" w:cs="Arial"/>
        </w:rPr>
        <w:t xml:space="preserve">turi atlikti </w:t>
      </w:r>
      <w:r w:rsidR="006A028A" w:rsidRPr="008357B5">
        <w:rPr>
          <w:rFonts w:ascii="Arial" w:eastAsia="Calibri" w:hAnsi="Arial" w:cs="Arial"/>
        </w:rPr>
        <w:t>Bendrovės finansinių ataskaitų, parengtų pagal TFAS, priimtus taikyti Europos Sąjungoje, auditą už metus, pasibaigiančius 20</w:t>
      </w:r>
      <w:r w:rsidR="008D5726" w:rsidRPr="008357B5">
        <w:rPr>
          <w:rFonts w:ascii="Arial" w:eastAsia="Calibri" w:hAnsi="Arial" w:cs="Arial"/>
        </w:rPr>
        <w:t>20</w:t>
      </w:r>
      <w:r w:rsidR="006A028A" w:rsidRPr="008357B5">
        <w:rPr>
          <w:rFonts w:ascii="Arial" w:eastAsia="Calibri" w:hAnsi="Arial" w:cs="Arial"/>
        </w:rPr>
        <w:t xml:space="preserve"> m. ir 20</w:t>
      </w:r>
      <w:r w:rsidR="008D5726" w:rsidRPr="008357B5">
        <w:rPr>
          <w:rFonts w:ascii="Arial" w:eastAsia="Calibri" w:hAnsi="Arial" w:cs="Arial"/>
        </w:rPr>
        <w:t>21</w:t>
      </w:r>
      <w:r w:rsidR="006A028A" w:rsidRPr="008357B5">
        <w:rPr>
          <w:rFonts w:ascii="Arial" w:eastAsia="Calibri" w:hAnsi="Arial" w:cs="Arial"/>
        </w:rPr>
        <w:t xml:space="preserve"> m. gruodžio 31 d., ir pareikš</w:t>
      </w:r>
      <w:r w:rsidR="00296888" w:rsidRPr="008357B5">
        <w:rPr>
          <w:rFonts w:ascii="Arial" w:eastAsia="Calibri" w:hAnsi="Arial" w:cs="Arial"/>
        </w:rPr>
        <w:t>ti</w:t>
      </w:r>
      <w:r w:rsidR="006A028A" w:rsidRPr="008357B5">
        <w:rPr>
          <w:rFonts w:ascii="Arial" w:eastAsia="Calibri" w:hAnsi="Arial" w:cs="Arial"/>
        </w:rPr>
        <w:t xml:space="preserve"> audito nuomonę, ar Bendrovės finansinės ataskaitos visais reikšmingais atžvilgiais teisingai parodo Bendrovės finansinę būklę, veiklos rezultatus ir pinigų srautus pagal teisės aktus, reglamentuojančius buhalterinę apskaitą ir finansinių ataskaitų sudarymą.</w:t>
      </w:r>
    </w:p>
    <w:p w14:paraId="396E872D" w14:textId="79AEC6B5" w:rsidR="00CC4294" w:rsidRPr="008357B5" w:rsidRDefault="00CC4294" w:rsidP="00CC4294">
      <w:pPr>
        <w:pStyle w:val="ListParagraph"/>
        <w:tabs>
          <w:tab w:val="left" w:pos="709"/>
        </w:tabs>
        <w:ind w:left="0"/>
        <w:jc w:val="both"/>
        <w:rPr>
          <w:rFonts w:ascii="Arial" w:eastAsia="Calibri" w:hAnsi="Arial" w:cs="Arial"/>
        </w:rPr>
      </w:pPr>
      <w:r w:rsidRPr="008357B5">
        <w:rPr>
          <w:rFonts w:ascii="Arial" w:eastAsia="Calibri" w:hAnsi="Arial" w:cs="Arial"/>
        </w:rPr>
        <w:t xml:space="preserve">3.2.2. </w:t>
      </w:r>
      <w:r w:rsidR="006A028A" w:rsidRPr="008357B5">
        <w:rPr>
          <w:rFonts w:ascii="Arial" w:eastAsia="Calibri" w:hAnsi="Arial" w:cs="Arial"/>
        </w:rPr>
        <w:t xml:space="preserve">Audito paslaugų teikėjas </w:t>
      </w:r>
      <w:r w:rsidR="00296888" w:rsidRPr="008357B5">
        <w:rPr>
          <w:rFonts w:ascii="Arial" w:eastAsia="Calibri" w:hAnsi="Arial" w:cs="Arial"/>
        </w:rPr>
        <w:t xml:space="preserve">turi patikrinti </w:t>
      </w:r>
      <w:r w:rsidR="006A028A" w:rsidRPr="008357B5">
        <w:rPr>
          <w:rFonts w:ascii="Arial" w:eastAsia="Calibri" w:hAnsi="Arial" w:cs="Arial"/>
        </w:rPr>
        <w:t>Bendrovės metinį pranešimą už 20</w:t>
      </w:r>
      <w:r w:rsidR="00D16814" w:rsidRPr="008357B5">
        <w:rPr>
          <w:rFonts w:ascii="Arial" w:eastAsia="Calibri" w:hAnsi="Arial" w:cs="Arial"/>
        </w:rPr>
        <w:t>20</w:t>
      </w:r>
      <w:r w:rsidR="006A028A" w:rsidRPr="008357B5">
        <w:rPr>
          <w:rFonts w:ascii="Arial" w:eastAsia="Calibri" w:hAnsi="Arial" w:cs="Arial"/>
        </w:rPr>
        <w:t xml:space="preserve"> m. ir 20</w:t>
      </w:r>
      <w:r w:rsidR="00D16814" w:rsidRPr="008357B5">
        <w:rPr>
          <w:rFonts w:ascii="Arial" w:eastAsia="Calibri" w:hAnsi="Arial" w:cs="Arial"/>
        </w:rPr>
        <w:t>21</w:t>
      </w:r>
      <w:r w:rsidR="006A028A" w:rsidRPr="008357B5">
        <w:rPr>
          <w:rFonts w:ascii="Arial" w:eastAsia="Calibri" w:hAnsi="Arial" w:cs="Arial"/>
        </w:rPr>
        <w:t xml:space="preserve"> m. ir pareikš</w:t>
      </w:r>
      <w:r w:rsidR="00296888" w:rsidRPr="008357B5">
        <w:rPr>
          <w:rFonts w:ascii="Arial" w:eastAsia="Calibri" w:hAnsi="Arial" w:cs="Arial"/>
        </w:rPr>
        <w:t>ti</w:t>
      </w:r>
      <w:r w:rsidR="006A028A" w:rsidRPr="008357B5">
        <w:rPr>
          <w:rFonts w:ascii="Arial" w:eastAsia="Calibri" w:hAnsi="Arial" w:cs="Arial"/>
        </w:rPr>
        <w:t xml:space="preserve"> nuomonę, ar finansinėje informacijoje, pateiktoje metiniame pranešime, nėra reikšmingų nukrypimų, lyginant su atitinkamo laikotarpio finansinėmis ataskaitomis.</w:t>
      </w:r>
    </w:p>
    <w:p w14:paraId="5A870341" w14:textId="36062CF2" w:rsidR="00CC4294" w:rsidRPr="008357B5" w:rsidRDefault="00CC4294" w:rsidP="00CC4294">
      <w:pPr>
        <w:pStyle w:val="ListParagraph"/>
        <w:tabs>
          <w:tab w:val="left" w:pos="709"/>
        </w:tabs>
        <w:ind w:left="0"/>
        <w:jc w:val="both"/>
        <w:rPr>
          <w:rFonts w:ascii="Arial" w:eastAsia="Calibri" w:hAnsi="Arial" w:cs="Arial"/>
        </w:rPr>
      </w:pPr>
      <w:r w:rsidRPr="008357B5">
        <w:rPr>
          <w:rFonts w:ascii="Arial" w:hAnsi="Arial" w:cs="Arial"/>
        </w:rPr>
        <w:t xml:space="preserve">3.2.3. </w:t>
      </w:r>
      <w:r w:rsidR="006A028A" w:rsidRPr="008357B5">
        <w:rPr>
          <w:rFonts w:ascii="Arial" w:hAnsi="Arial" w:cs="Arial"/>
        </w:rPr>
        <w:t xml:space="preserve">Audito paslaugų teikėjas </w:t>
      </w:r>
      <w:r w:rsidR="00296888" w:rsidRPr="008357B5">
        <w:rPr>
          <w:rFonts w:ascii="Arial" w:hAnsi="Arial" w:cs="Arial"/>
        </w:rPr>
        <w:t>turi įvertinti</w:t>
      </w:r>
      <w:r w:rsidR="006A028A" w:rsidRPr="008357B5">
        <w:rPr>
          <w:rFonts w:ascii="Arial" w:hAnsi="Arial" w:cs="Arial"/>
        </w:rPr>
        <w:t xml:space="preserve">, ar Bendrovė turi tinkamas ir pakankamas vidaus kontrolės ir informacines sistemas, reikalingas finansinės informacijos apdorojimui ir finansinių ataskaitų parengimui, bei </w:t>
      </w:r>
      <w:r w:rsidR="00296888" w:rsidRPr="008357B5">
        <w:rPr>
          <w:rFonts w:ascii="Arial" w:hAnsi="Arial" w:cs="Arial"/>
        </w:rPr>
        <w:t xml:space="preserve">pateikti </w:t>
      </w:r>
      <w:r w:rsidR="006A028A" w:rsidRPr="008357B5">
        <w:rPr>
          <w:rFonts w:ascii="Arial" w:hAnsi="Arial" w:cs="Arial"/>
        </w:rPr>
        <w:t>pasiūlymus (jei tokių bus) dėl vidaus kontrolės procedūrų ir kompiuterinių sistemų, susijusių su apskaitos valdymu ir vykdymu, tolimesnio vystymo ir tobulinimo.</w:t>
      </w:r>
    </w:p>
    <w:p w14:paraId="79275847" w14:textId="25F71BA1" w:rsidR="00CC4294" w:rsidRPr="008357B5" w:rsidRDefault="00CC4294" w:rsidP="00CC4294">
      <w:pPr>
        <w:pStyle w:val="ListParagraph"/>
        <w:tabs>
          <w:tab w:val="left" w:pos="709"/>
        </w:tabs>
        <w:ind w:left="0"/>
        <w:jc w:val="both"/>
        <w:rPr>
          <w:rFonts w:ascii="Arial" w:eastAsia="Calibri" w:hAnsi="Arial" w:cs="Arial"/>
        </w:rPr>
      </w:pPr>
      <w:r w:rsidRPr="008357B5">
        <w:rPr>
          <w:rFonts w:ascii="Arial" w:hAnsi="Arial" w:cs="Arial"/>
        </w:rPr>
        <w:t xml:space="preserve">3.2.4. </w:t>
      </w:r>
      <w:r w:rsidR="006A028A" w:rsidRPr="008357B5">
        <w:rPr>
          <w:rFonts w:ascii="Arial" w:hAnsi="Arial" w:cs="Arial"/>
        </w:rPr>
        <w:t xml:space="preserve">Audito paslaugų teikėjas </w:t>
      </w:r>
      <w:r w:rsidR="00296888" w:rsidRPr="008357B5">
        <w:rPr>
          <w:rFonts w:ascii="Arial" w:hAnsi="Arial" w:cs="Arial"/>
        </w:rPr>
        <w:t xml:space="preserve">turi pateikti </w:t>
      </w:r>
      <w:r w:rsidR="006A028A" w:rsidRPr="008357B5">
        <w:rPr>
          <w:rFonts w:ascii="Arial" w:hAnsi="Arial" w:cs="Arial"/>
        </w:rPr>
        <w:t>ataskaitas Bendrovės vadovybei, kuriose bus paminėti audito metu atskleisti reikšmingi pastebėjimai, jei tokių bus, ir pateiktos rekomendacijos bei išsamesnė informacija apie audito rezultatus bei aptariami nustatyti audito metu valdymui svarbūs dalykai.</w:t>
      </w:r>
    </w:p>
    <w:p w14:paraId="7DF2B0EC" w14:textId="4AB31790" w:rsidR="00FC6522" w:rsidRPr="008357B5" w:rsidRDefault="00B3711E" w:rsidP="00B3711E">
      <w:pPr>
        <w:pStyle w:val="ListParagraph"/>
        <w:tabs>
          <w:tab w:val="left" w:pos="709"/>
        </w:tabs>
        <w:ind w:left="0"/>
        <w:jc w:val="both"/>
        <w:rPr>
          <w:rFonts w:ascii="Arial" w:eastAsia="Calibri" w:hAnsi="Arial" w:cs="Arial"/>
        </w:rPr>
      </w:pPr>
      <w:r>
        <w:rPr>
          <w:rFonts w:ascii="Arial" w:hAnsi="Arial" w:cs="Arial"/>
        </w:rPr>
        <w:t xml:space="preserve">3.2.5. </w:t>
      </w:r>
      <w:r w:rsidR="006A028A" w:rsidRPr="008357B5">
        <w:rPr>
          <w:rFonts w:ascii="Arial" w:hAnsi="Arial" w:cs="Arial"/>
        </w:rPr>
        <w:t xml:space="preserve">Audito paslaugų teikėjas </w:t>
      </w:r>
      <w:r w:rsidR="00296888" w:rsidRPr="008357B5">
        <w:rPr>
          <w:rFonts w:ascii="Arial" w:hAnsi="Arial" w:cs="Arial"/>
          <w:noProof/>
        </w:rPr>
        <w:t xml:space="preserve">turi pateikti </w:t>
      </w:r>
      <w:r w:rsidR="00957A43" w:rsidRPr="008357B5">
        <w:rPr>
          <w:rFonts w:ascii="Arial" w:hAnsi="Arial" w:cs="Arial"/>
          <w:noProof/>
        </w:rPr>
        <w:t>patikros ataskaitą</w:t>
      </w:r>
      <w:r w:rsidR="008A57DA" w:rsidRPr="008357B5">
        <w:rPr>
          <w:rFonts w:ascii="Arial" w:hAnsi="Arial" w:cs="Arial"/>
          <w:noProof/>
        </w:rPr>
        <w:t xml:space="preserve"> apie </w:t>
      </w:r>
      <w:r w:rsidR="002E50AA" w:rsidRPr="008357B5">
        <w:rPr>
          <w:rFonts w:ascii="Arial" w:hAnsi="Arial" w:cs="Arial"/>
          <w:noProof/>
        </w:rPr>
        <w:t xml:space="preserve">apie Bendrovės 2020 m. ir 2021 m. reguliuojamos veiklos ataskaitų </w:t>
      </w:r>
      <w:r w:rsidR="008A57DA" w:rsidRPr="008357B5">
        <w:rPr>
          <w:rFonts w:ascii="Arial" w:hAnsi="Arial" w:cs="Arial"/>
          <w:noProof/>
        </w:rPr>
        <w:t xml:space="preserve">faktinius pastebėjimus, susijusius </w:t>
      </w:r>
      <w:r w:rsidR="002E50AA" w:rsidRPr="008357B5">
        <w:rPr>
          <w:rFonts w:ascii="Arial" w:hAnsi="Arial" w:cs="Arial"/>
          <w:noProof/>
        </w:rPr>
        <w:t>su atliktomis procedūromis pagal  Valstybinės energetikos reguliavimo tarybos patvirtiną techninę užduotį.</w:t>
      </w:r>
    </w:p>
    <w:p w14:paraId="640A3E6D" w14:textId="38BB1113" w:rsidR="00FC6522" w:rsidRPr="008357B5" w:rsidRDefault="00B3711E" w:rsidP="00B3711E">
      <w:pPr>
        <w:pStyle w:val="ListParagraph"/>
        <w:tabs>
          <w:tab w:val="left" w:pos="709"/>
        </w:tabs>
        <w:ind w:left="0"/>
        <w:jc w:val="both"/>
        <w:rPr>
          <w:rFonts w:ascii="Arial" w:eastAsia="Calibri" w:hAnsi="Arial" w:cs="Arial"/>
        </w:rPr>
      </w:pPr>
      <w:r>
        <w:rPr>
          <w:rFonts w:ascii="Arial" w:eastAsia="Calibri" w:hAnsi="Arial" w:cs="Arial"/>
        </w:rPr>
        <w:t xml:space="preserve">3.2.6. </w:t>
      </w:r>
      <w:r w:rsidR="006A028A" w:rsidRPr="008357B5">
        <w:rPr>
          <w:rFonts w:ascii="Arial" w:eastAsia="Calibri" w:hAnsi="Arial" w:cs="Arial"/>
        </w:rPr>
        <w:t xml:space="preserve">Audito paslaugų teikėjas telefonu, el. paštu ar kitomis komunikacijos priemonėmis </w:t>
      </w:r>
      <w:r w:rsidR="00296888" w:rsidRPr="008357B5">
        <w:rPr>
          <w:rFonts w:ascii="Arial" w:eastAsia="Calibri" w:hAnsi="Arial" w:cs="Arial"/>
        </w:rPr>
        <w:t xml:space="preserve">turi </w:t>
      </w:r>
      <w:r w:rsidR="00296888" w:rsidRPr="00B16B55">
        <w:rPr>
          <w:rFonts w:ascii="Arial" w:eastAsia="Calibri" w:hAnsi="Arial" w:cs="Arial"/>
        </w:rPr>
        <w:t xml:space="preserve">konsultuoti </w:t>
      </w:r>
      <w:r w:rsidR="006A028A" w:rsidRPr="00B16B55">
        <w:rPr>
          <w:rFonts w:ascii="Arial" w:eastAsia="Calibri" w:hAnsi="Arial" w:cs="Arial"/>
        </w:rPr>
        <w:t>Bendrovės personalą einamaisiais finansinės</w:t>
      </w:r>
      <w:r w:rsidR="00B16B55" w:rsidRPr="00B16B55">
        <w:rPr>
          <w:rFonts w:ascii="Arial" w:eastAsia="Calibri" w:hAnsi="Arial" w:cs="Arial"/>
        </w:rPr>
        <w:t>, reguliuojamos veiklos</w:t>
      </w:r>
      <w:r w:rsidR="006A028A" w:rsidRPr="00B16B55">
        <w:rPr>
          <w:rFonts w:ascii="Arial" w:eastAsia="Calibri" w:hAnsi="Arial" w:cs="Arial"/>
        </w:rPr>
        <w:t xml:space="preserve"> ir mokesčių apskaitos klausimais, kurie nereikalauja daug laiko ir yra tiesiogiai susiję su vykdomu auditu.</w:t>
      </w:r>
    </w:p>
    <w:p w14:paraId="3F3E99E5" w14:textId="2D68C2D8" w:rsidR="00AF6684" w:rsidRPr="008357B5" w:rsidRDefault="00583057" w:rsidP="00B3711E">
      <w:pPr>
        <w:pStyle w:val="ListParagraph"/>
        <w:tabs>
          <w:tab w:val="left" w:pos="709"/>
        </w:tabs>
        <w:ind w:left="0"/>
        <w:jc w:val="both"/>
        <w:rPr>
          <w:rFonts w:ascii="Arial" w:eastAsia="Calibri" w:hAnsi="Arial" w:cs="Arial"/>
        </w:rPr>
      </w:pPr>
      <w:r>
        <w:rPr>
          <w:rFonts w:ascii="Arial" w:hAnsi="Arial" w:cs="Arial"/>
        </w:rPr>
        <w:lastRenderedPageBreak/>
        <w:t xml:space="preserve">3.2.7. </w:t>
      </w:r>
      <w:r w:rsidR="006A028A" w:rsidRPr="008357B5">
        <w:rPr>
          <w:rFonts w:ascii="Arial" w:hAnsi="Arial" w:cs="Arial"/>
        </w:rPr>
        <w:t xml:space="preserve">Bendrovės prašymu, audito paslaugų teikėjo atstovai </w:t>
      </w:r>
      <w:r w:rsidR="00296888" w:rsidRPr="008357B5">
        <w:rPr>
          <w:rFonts w:ascii="Arial" w:hAnsi="Arial" w:cs="Arial"/>
        </w:rPr>
        <w:t xml:space="preserve">turi dalyvauti </w:t>
      </w:r>
      <w:r w:rsidR="006A028A" w:rsidRPr="008357B5">
        <w:rPr>
          <w:rFonts w:ascii="Arial" w:hAnsi="Arial" w:cs="Arial"/>
        </w:rPr>
        <w:t>akcininkų susirinkimuose</w:t>
      </w:r>
      <w:r w:rsidR="00AD0215" w:rsidRPr="008357B5">
        <w:rPr>
          <w:rFonts w:ascii="Arial" w:hAnsi="Arial" w:cs="Arial"/>
        </w:rPr>
        <w:t xml:space="preserve"> ir </w:t>
      </w:r>
      <w:r w:rsidR="006A028A" w:rsidRPr="008357B5">
        <w:rPr>
          <w:rFonts w:ascii="Arial" w:hAnsi="Arial" w:cs="Arial"/>
        </w:rPr>
        <w:t>valdybos posėdžiuose, kuriuose bus sprendžiami su auditu susiję klausimai.</w:t>
      </w:r>
    </w:p>
    <w:p w14:paraId="252CE5CA" w14:textId="396DA6DC" w:rsidR="008814D4" w:rsidRDefault="00583057" w:rsidP="003144D0">
      <w:pPr>
        <w:pStyle w:val="ListParagraph"/>
        <w:tabs>
          <w:tab w:val="left" w:pos="709"/>
        </w:tabs>
        <w:ind w:left="0"/>
        <w:jc w:val="both"/>
        <w:rPr>
          <w:rFonts w:ascii="Arial" w:hAnsi="Arial" w:cs="Arial"/>
        </w:rPr>
      </w:pPr>
      <w:r>
        <w:rPr>
          <w:rFonts w:ascii="Arial" w:hAnsi="Arial" w:cs="Arial"/>
        </w:rPr>
        <w:t xml:space="preserve">3.2.8. </w:t>
      </w:r>
      <w:r w:rsidR="00AF6684" w:rsidRPr="008357B5">
        <w:rPr>
          <w:rFonts w:ascii="Arial" w:hAnsi="Arial" w:cs="Arial"/>
        </w:rPr>
        <w:t>Detalus audito</w:t>
      </w:r>
      <w:r w:rsidR="002E50AA" w:rsidRPr="008357B5">
        <w:rPr>
          <w:rFonts w:ascii="Arial" w:hAnsi="Arial" w:cs="Arial"/>
        </w:rPr>
        <w:t xml:space="preserve"> ir patikros</w:t>
      </w:r>
      <w:r w:rsidR="00AF6684" w:rsidRPr="008357B5">
        <w:rPr>
          <w:rFonts w:ascii="Arial" w:hAnsi="Arial" w:cs="Arial"/>
        </w:rPr>
        <w:t xml:space="preserve"> darbų atlikimo grafikas </w:t>
      </w:r>
      <w:r w:rsidR="00431185">
        <w:rPr>
          <w:rFonts w:ascii="Arial" w:hAnsi="Arial" w:cs="Arial"/>
        </w:rPr>
        <w:t>turi</w:t>
      </w:r>
      <w:r w:rsidR="00431185" w:rsidRPr="008357B5">
        <w:rPr>
          <w:rFonts w:ascii="Arial" w:hAnsi="Arial" w:cs="Arial"/>
        </w:rPr>
        <w:t xml:space="preserve"> </w:t>
      </w:r>
      <w:r w:rsidR="00B35CD3" w:rsidRPr="008357B5">
        <w:rPr>
          <w:rFonts w:ascii="Arial" w:hAnsi="Arial" w:cs="Arial"/>
        </w:rPr>
        <w:t>būti suderintas ne vėliau kaip per</w:t>
      </w:r>
      <w:r w:rsidR="0067505B" w:rsidRPr="008357B5">
        <w:rPr>
          <w:rFonts w:ascii="Arial" w:hAnsi="Arial" w:cs="Arial"/>
        </w:rPr>
        <w:t xml:space="preserve"> </w:t>
      </w:r>
      <w:r w:rsidR="00F16934" w:rsidRPr="008357B5">
        <w:rPr>
          <w:rFonts w:ascii="Arial" w:hAnsi="Arial" w:cs="Arial"/>
        </w:rPr>
        <w:t>5</w:t>
      </w:r>
      <w:r w:rsidR="0067505B" w:rsidRPr="008357B5">
        <w:rPr>
          <w:rFonts w:ascii="Arial" w:hAnsi="Arial" w:cs="Arial"/>
        </w:rPr>
        <w:t xml:space="preserve"> </w:t>
      </w:r>
      <w:r w:rsidR="00B35CD3" w:rsidRPr="008357B5">
        <w:rPr>
          <w:rFonts w:ascii="Arial" w:hAnsi="Arial" w:cs="Arial"/>
        </w:rPr>
        <w:t>darbo dienas nuo sutarties pasirašymo</w:t>
      </w:r>
      <w:r w:rsidR="00AF6684" w:rsidRPr="008357B5">
        <w:rPr>
          <w:rFonts w:ascii="Arial" w:hAnsi="Arial" w:cs="Arial"/>
        </w:rPr>
        <w:t>, tačiau Audito paslaugų teikėjas įsipareigoja Paslaugų teikimą organizuoti taip, kad:</w:t>
      </w:r>
    </w:p>
    <w:p w14:paraId="3661A7B4" w14:textId="3F7BC2F8" w:rsidR="008814D4" w:rsidRPr="003B116B" w:rsidRDefault="001D17E0" w:rsidP="003B116B">
      <w:pPr>
        <w:pStyle w:val="ListParagraph"/>
        <w:tabs>
          <w:tab w:val="left" w:pos="709"/>
        </w:tabs>
        <w:spacing w:line="240" w:lineRule="auto"/>
        <w:ind w:left="0" w:firstLine="709"/>
        <w:jc w:val="both"/>
        <w:rPr>
          <w:rFonts w:ascii="Arial" w:eastAsia="Calibri" w:hAnsi="Arial" w:cs="Arial"/>
        </w:rPr>
      </w:pPr>
      <w:r w:rsidRPr="003144D0">
        <w:rPr>
          <w:rFonts w:ascii="Arial" w:eastAsia="Calibri" w:hAnsi="Arial" w:cs="Arial"/>
        </w:rPr>
        <w:t>3.2.8.1. a</w:t>
      </w:r>
      <w:r w:rsidR="00AF6684" w:rsidRPr="003144D0">
        <w:rPr>
          <w:rFonts w:ascii="Arial" w:hAnsi="Arial" w:cs="Arial"/>
        </w:rPr>
        <w:t xml:space="preserve">uditoriaus išvadą apie audituotas atitinkamų metų Bendrovės metines finansines ataskaitas </w:t>
      </w:r>
      <w:r w:rsidR="00AF6684" w:rsidRPr="003144D0">
        <w:rPr>
          <w:rFonts w:ascii="Arial" w:hAnsi="Arial" w:cs="Arial"/>
          <w:u w:val="single"/>
        </w:rPr>
        <w:t>lietuvių k</w:t>
      </w:r>
      <w:r w:rsidR="00AF6684" w:rsidRPr="003144D0">
        <w:rPr>
          <w:rFonts w:ascii="Arial" w:hAnsi="Arial" w:cs="Arial"/>
        </w:rPr>
        <w:t>. pateikti ne vėliau kaip per 81 kalendorines dienas po finansinių ataskaitinių metų pabaigos</w:t>
      </w:r>
      <w:r w:rsidR="00296888" w:rsidRPr="003144D0">
        <w:rPr>
          <w:rFonts w:ascii="Arial" w:hAnsi="Arial" w:cs="Arial"/>
        </w:rPr>
        <w:t>;</w:t>
      </w:r>
    </w:p>
    <w:p w14:paraId="6590D390" w14:textId="3AEA6CC9" w:rsidR="008814D4" w:rsidRPr="003144D0" w:rsidRDefault="006A0DD5" w:rsidP="003B116B">
      <w:pPr>
        <w:pStyle w:val="ListParagraph"/>
        <w:tabs>
          <w:tab w:val="left" w:pos="709"/>
        </w:tabs>
        <w:spacing w:line="240" w:lineRule="auto"/>
        <w:ind w:left="0" w:firstLine="709"/>
        <w:jc w:val="both"/>
        <w:rPr>
          <w:rFonts w:ascii="Arial" w:eastAsia="Calibri" w:hAnsi="Arial" w:cs="Arial"/>
        </w:rPr>
      </w:pPr>
      <w:r w:rsidRPr="003B116B">
        <w:rPr>
          <w:rFonts w:ascii="Arial" w:eastAsia="Calibri" w:hAnsi="Arial" w:cs="Arial"/>
        </w:rPr>
        <w:t xml:space="preserve">3.2.8.2. </w:t>
      </w:r>
      <w:r w:rsidR="00AF6684" w:rsidRPr="003B116B">
        <w:rPr>
          <w:rFonts w:ascii="Arial" w:eastAsia="Calibri" w:hAnsi="Arial" w:cs="Arial"/>
        </w:rPr>
        <w:t xml:space="preserve">audito ataskaitą </w:t>
      </w:r>
      <w:r w:rsidR="0081065C" w:rsidRPr="003144D0">
        <w:rPr>
          <w:rFonts w:ascii="Arial" w:eastAsia="Calibri" w:hAnsi="Arial" w:cs="Arial"/>
        </w:rPr>
        <w:t>lietuvių ir anglų</w:t>
      </w:r>
      <w:r w:rsidR="006431B4" w:rsidRPr="003144D0">
        <w:rPr>
          <w:rFonts w:ascii="Arial" w:eastAsia="Calibri" w:hAnsi="Arial" w:cs="Arial"/>
        </w:rPr>
        <w:t xml:space="preserve"> k. </w:t>
      </w:r>
      <w:r w:rsidR="00AF6684" w:rsidRPr="003144D0">
        <w:rPr>
          <w:rFonts w:ascii="Arial" w:eastAsia="Calibri" w:hAnsi="Arial" w:cs="Arial"/>
        </w:rPr>
        <w:t>pateikti ne vėliau kaip per 92 kalendorines dienas po finansinių ataskaitinių metų pabaigos;</w:t>
      </w:r>
    </w:p>
    <w:p w14:paraId="30316ADC" w14:textId="0F1C1998" w:rsidR="008814D4" w:rsidRPr="003144D0" w:rsidRDefault="006A0DD5" w:rsidP="003B116B">
      <w:pPr>
        <w:pStyle w:val="ListParagraph"/>
        <w:tabs>
          <w:tab w:val="left" w:pos="709"/>
        </w:tabs>
        <w:spacing w:line="240" w:lineRule="auto"/>
        <w:ind w:left="0" w:firstLine="709"/>
        <w:jc w:val="both"/>
        <w:rPr>
          <w:rFonts w:ascii="Arial" w:eastAsia="Calibri" w:hAnsi="Arial" w:cs="Arial"/>
        </w:rPr>
      </w:pPr>
      <w:r w:rsidRPr="003144D0">
        <w:rPr>
          <w:rFonts w:ascii="Arial" w:eastAsia="Calibri" w:hAnsi="Arial" w:cs="Arial"/>
        </w:rPr>
        <w:t>3.</w:t>
      </w:r>
      <w:r w:rsidR="003144D0" w:rsidRPr="003144D0">
        <w:rPr>
          <w:rFonts w:ascii="Arial" w:eastAsia="Calibri" w:hAnsi="Arial" w:cs="Arial"/>
        </w:rPr>
        <w:t xml:space="preserve">2.8.3. </w:t>
      </w:r>
      <w:r w:rsidR="00AF6684" w:rsidRPr="003144D0">
        <w:rPr>
          <w:rFonts w:ascii="Arial" w:eastAsia="Calibri" w:hAnsi="Arial" w:cs="Arial"/>
        </w:rPr>
        <w:t xml:space="preserve">auditoriaus išvadą apie atitinkamų metų audituotas Bendrovės metines finansines ataskaitas </w:t>
      </w:r>
      <w:r w:rsidR="00AF6684" w:rsidRPr="007E35FA">
        <w:rPr>
          <w:rFonts w:ascii="Arial" w:eastAsia="Calibri" w:hAnsi="Arial" w:cs="Arial"/>
          <w:u w:val="single"/>
        </w:rPr>
        <w:t>anglų k.</w:t>
      </w:r>
      <w:r w:rsidR="00AF6684" w:rsidRPr="003144D0">
        <w:rPr>
          <w:rFonts w:ascii="Arial" w:eastAsia="Calibri" w:hAnsi="Arial" w:cs="Arial"/>
        </w:rPr>
        <w:t xml:space="preserve"> pateikti ne vėliau kaip per 102 kalendorines dienas po finansinių ataskaitinių metų pabaigos;</w:t>
      </w:r>
    </w:p>
    <w:p w14:paraId="20CFCD1C" w14:textId="17BE02BE" w:rsidR="008814D4" w:rsidRPr="001F694B" w:rsidRDefault="00E13583" w:rsidP="001F694B">
      <w:pPr>
        <w:pStyle w:val="ListParagraph"/>
        <w:tabs>
          <w:tab w:val="left" w:pos="709"/>
        </w:tabs>
        <w:spacing w:line="240" w:lineRule="auto"/>
        <w:ind w:left="0" w:firstLine="709"/>
        <w:jc w:val="both"/>
        <w:rPr>
          <w:rFonts w:ascii="Arial" w:eastAsia="Calibri" w:hAnsi="Arial" w:cs="Arial"/>
        </w:rPr>
      </w:pPr>
      <w:r w:rsidRPr="001F694B">
        <w:rPr>
          <w:rFonts w:ascii="Arial" w:eastAsia="Calibri" w:hAnsi="Arial" w:cs="Arial"/>
        </w:rPr>
        <w:t xml:space="preserve">3.2.8.4. </w:t>
      </w:r>
      <w:r w:rsidR="00AF6684" w:rsidRPr="001F694B">
        <w:rPr>
          <w:rFonts w:ascii="Arial" w:eastAsia="Calibri" w:hAnsi="Arial" w:cs="Arial"/>
        </w:rPr>
        <w:t xml:space="preserve">auditoriaus </w:t>
      </w:r>
      <w:r w:rsidR="002E50AA" w:rsidRPr="001F694B">
        <w:rPr>
          <w:rFonts w:ascii="Arial" w:eastAsia="Calibri" w:hAnsi="Arial" w:cs="Arial"/>
        </w:rPr>
        <w:t xml:space="preserve">patikros ataskaitą </w:t>
      </w:r>
      <w:r w:rsidR="00AF6684" w:rsidRPr="001F694B">
        <w:rPr>
          <w:rFonts w:ascii="Arial" w:eastAsia="Calibri" w:hAnsi="Arial" w:cs="Arial"/>
        </w:rPr>
        <w:t xml:space="preserve">apie atitinkamų metų Bendrovės reguliuojamos veiklos ataskaitas </w:t>
      </w:r>
      <w:r w:rsidR="00A4211B" w:rsidRPr="007E35FA">
        <w:rPr>
          <w:rFonts w:ascii="Arial" w:eastAsia="Calibri" w:hAnsi="Arial" w:cs="Arial"/>
          <w:u w:val="single"/>
        </w:rPr>
        <w:t xml:space="preserve">lietuvių </w:t>
      </w:r>
      <w:r w:rsidR="00B20928" w:rsidRPr="007E35FA">
        <w:rPr>
          <w:rFonts w:ascii="Arial" w:eastAsia="Calibri" w:hAnsi="Arial" w:cs="Arial"/>
          <w:u w:val="single"/>
        </w:rPr>
        <w:t>k.</w:t>
      </w:r>
      <w:r w:rsidR="00B20928" w:rsidRPr="001F694B">
        <w:rPr>
          <w:rFonts w:ascii="Arial" w:eastAsia="Calibri" w:hAnsi="Arial" w:cs="Arial"/>
        </w:rPr>
        <w:t xml:space="preserve"> </w:t>
      </w:r>
      <w:r w:rsidR="00AF6684" w:rsidRPr="001F694B">
        <w:rPr>
          <w:rFonts w:ascii="Arial" w:eastAsia="Calibri" w:hAnsi="Arial" w:cs="Arial"/>
        </w:rPr>
        <w:t>pateikti ne vėliau kaip per 120 kalendorines dienas po finansinių ataskaitinių metų pabaigos;</w:t>
      </w:r>
    </w:p>
    <w:p w14:paraId="5F386B34" w14:textId="6673923A" w:rsidR="00AF6684" w:rsidRPr="001F694B" w:rsidRDefault="00E13583" w:rsidP="001F694B">
      <w:pPr>
        <w:pStyle w:val="ListParagraph"/>
        <w:tabs>
          <w:tab w:val="left" w:pos="709"/>
        </w:tabs>
        <w:spacing w:line="240" w:lineRule="auto"/>
        <w:ind w:left="0" w:firstLine="709"/>
        <w:jc w:val="both"/>
        <w:rPr>
          <w:rFonts w:ascii="Arial" w:eastAsia="Calibri" w:hAnsi="Arial" w:cs="Arial"/>
        </w:rPr>
      </w:pPr>
      <w:r w:rsidRPr="001F694B">
        <w:rPr>
          <w:rFonts w:ascii="Arial" w:eastAsia="Calibri" w:hAnsi="Arial" w:cs="Arial"/>
        </w:rPr>
        <w:t xml:space="preserve">3.2.8.5. </w:t>
      </w:r>
      <w:r w:rsidR="00AF6684" w:rsidRPr="001F694B">
        <w:rPr>
          <w:rFonts w:ascii="Arial" w:eastAsia="Calibri" w:hAnsi="Arial" w:cs="Arial"/>
        </w:rPr>
        <w:t xml:space="preserve">Kvalifikuotu el. parašu pasirašyta skaitmeninė metinių finansinių ataskaitų rinkinio kopija turi būti pateikta ne vėliau kaip per 5 darbo dienas nuo </w:t>
      </w:r>
      <w:r w:rsidR="002C0B4E" w:rsidRPr="001F694B">
        <w:rPr>
          <w:rFonts w:ascii="Arial" w:eastAsia="Calibri" w:hAnsi="Arial" w:cs="Arial"/>
        </w:rPr>
        <w:t>3</w:t>
      </w:r>
      <w:r w:rsidR="00AF6684" w:rsidRPr="001F694B">
        <w:rPr>
          <w:rFonts w:ascii="Arial" w:eastAsia="Calibri" w:hAnsi="Arial" w:cs="Arial"/>
        </w:rPr>
        <w:t>.</w:t>
      </w:r>
      <w:r w:rsidR="002C0B4E" w:rsidRPr="001F694B">
        <w:rPr>
          <w:rFonts w:ascii="Arial" w:eastAsia="Calibri" w:hAnsi="Arial" w:cs="Arial"/>
        </w:rPr>
        <w:t>2</w:t>
      </w:r>
      <w:r w:rsidR="00AF6684" w:rsidRPr="001F694B">
        <w:rPr>
          <w:rFonts w:ascii="Arial" w:eastAsia="Calibri" w:hAnsi="Arial" w:cs="Arial"/>
        </w:rPr>
        <w:t>.</w:t>
      </w:r>
      <w:r w:rsidR="00E16332">
        <w:rPr>
          <w:rFonts w:ascii="Arial" w:eastAsia="Calibri" w:hAnsi="Arial" w:cs="Arial"/>
        </w:rPr>
        <w:t>8</w:t>
      </w:r>
      <w:r w:rsidR="00AF6684" w:rsidRPr="001F694B">
        <w:rPr>
          <w:rFonts w:ascii="Arial" w:eastAsia="Calibri" w:hAnsi="Arial" w:cs="Arial"/>
        </w:rPr>
        <w:t>.1. p. nurodytos datos.</w:t>
      </w:r>
    </w:p>
    <w:p w14:paraId="6DF73DF6" w14:textId="79FF2822" w:rsidR="00DA1CFC" w:rsidRPr="001F694B" w:rsidRDefault="00E13583" w:rsidP="001F694B">
      <w:pPr>
        <w:pStyle w:val="ListParagraph"/>
        <w:tabs>
          <w:tab w:val="left" w:pos="709"/>
        </w:tabs>
        <w:spacing w:line="240" w:lineRule="auto"/>
        <w:ind w:left="0" w:firstLine="709"/>
        <w:jc w:val="both"/>
        <w:rPr>
          <w:rFonts w:ascii="Arial" w:eastAsia="Calibri" w:hAnsi="Arial" w:cs="Arial"/>
        </w:rPr>
      </w:pPr>
      <w:r w:rsidRPr="001F694B">
        <w:rPr>
          <w:rFonts w:ascii="Arial" w:eastAsia="Calibri" w:hAnsi="Arial" w:cs="Arial"/>
        </w:rPr>
        <w:t>3.2.9</w:t>
      </w:r>
      <w:r w:rsidR="001F694B" w:rsidRPr="001F694B">
        <w:rPr>
          <w:rFonts w:ascii="Arial" w:eastAsia="Calibri" w:hAnsi="Arial" w:cs="Arial"/>
        </w:rPr>
        <w:t xml:space="preserve">. </w:t>
      </w:r>
      <w:r w:rsidR="00DA1CFC" w:rsidRPr="001F694B">
        <w:rPr>
          <w:rFonts w:ascii="Arial" w:eastAsia="Calibri" w:hAnsi="Arial" w:cs="Arial"/>
        </w:rPr>
        <w:t xml:space="preserve">Bendrovė </w:t>
      </w:r>
      <w:r w:rsidR="007B0903" w:rsidRPr="001F694B">
        <w:rPr>
          <w:rFonts w:ascii="Arial" w:eastAsia="Calibri" w:hAnsi="Arial" w:cs="Arial"/>
        </w:rPr>
        <w:t xml:space="preserve">visą </w:t>
      </w:r>
      <w:r w:rsidR="00D34772" w:rsidRPr="001F694B">
        <w:rPr>
          <w:rFonts w:ascii="Arial" w:eastAsia="Calibri" w:hAnsi="Arial" w:cs="Arial"/>
        </w:rPr>
        <w:t xml:space="preserve">audito paslaugų tiekėjui </w:t>
      </w:r>
      <w:r w:rsidR="007B0903" w:rsidRPr="001F694B">
        <w:rPr>
          <w:rFonts w:ascii="Arial" w:eastAsia="Calibri" w:hAnsi="Arial" w:cs="Arial"/>
        </w:rPr>
        <w:t xml:space="preserve">reikalingą </w:t>
      </w:r>
      <w:r w:rsidR="00EF7EA6" w:rsidRPr="001F694B">
        <w:rPr>
          <w:rFonts w:ascii="Arial" w:eastAsia="Calibri" w:hAnsi="Arial" w:cs="Arial"/>
        </w:rPr>
        <w:t xml:space="preserve">informaciją pateiks </w:t>
      </w:r>
      <w:r w:rsidR="005765EE" w:rsidRPr="001F694B">
        <w:rPr>
          <w:rFonts w:ascii="Arial" w:eastAsia="Calibri" w:hAnsi="Arial" w:cs="Arial"/>
        </w:rPr>
        <w:t xml:space="preserve">pagal </w:t>
      </w:r>
      <w:r w:rsidR="007B0903" w:rsidRPr="001F694B">
        <w:rPr>
          <w:rFonts w:ascii="Arial" w:eastAsia="Calibri" w:hAnsi="Arial" w:cs="Arial"/>
        </w:rPr>
        <w:t xml:space="preserve">su </w:t>
      </w:r>
      <w:r w:rsidR="00D34772" w:rsidRPr="001F694B">
        <w:rPr>
          <w:rFonts w:ascii="Arial" w:eastAsia="Calibri" w:hAnsi="Arial" w:cs="Arial"/>
        </w:rPr>
        <w:t>a</w:t>
      </w:r>
      <w:r w:rsidR="007B0903" w:rsidRPr="001F694B">
        <w:rPr>
          <w:rFonts w:ascii="Arial" w:eastAsia="Calibri" w:hAnsi="Arial" w:cs="Arial"/>
        </w:rPr>
        <w:t xml:space="preserve">udito paslaugų </w:t>
      </w:r>
      <w:r w:rsidR="00D34772" w:rsidRPr="001F694B">
        <w:rPr>
          <w:rFonts w:ascii="Arial" w:eastAsia="Calibri" w:hAnsi="Arial" w:cs="Arial"/>
        </w:rPr>
        <w:t>tiekėju</w:t>
      </w:r>
      <w:r w:rsidR="007B0903" w:rsidRPr="001F694B">
        <w:rPr>
          <w:rFonts w:ascii="Arial" w:eastAsia="Calibri" w:hAnsi="Arial" w:cs="Arial"/>
        </w:rPr>
        <w:t xml:space="preserve"> suderintą </w:t>
      </w:r>
      <w:r w:rsidR="00310E61" w:rsidRPr="001F694B">
        <w:rPr>
          <w:rFonts w:ascii="Arial" w:eastAsia="Calibri" w:hAnsi="Arial" w:cs="Arial"/>
        </w:rPr>
        <w:t>Grafiką</w:t>
      </w:r>
      <w:r w:rsidR="007B0903" w:rsidRPr="001F694B">
        <w:rPr>
          <w:rFonts w:ascii="Arial" w:eastAsia="Calibri" w:hAnsi="Arial" w:cs="Arial"/>
        </w:rPr>
        <w:t>.</w:t>
      </w:r>
      <w:r w:rsidR="00DA1CFC" w:rsidRPr="001F694B">
        <w:rPr>
          <w:rFonts w:ascii="Arial" w:eastAsia="Calibri" w:hAnsi="Arial" w:cs="Arial"/>
        </w:rPr>
        <w:t xml:space="preserve"> </w:t>
      </w:r>
    </w:p>
    <w:p w14:paraId="3D94270B" w14:textId="28E15246" w:rsidR="002B16D2" w:rsidRPr="008357B5" w:rsidRDefault="002B16D2" w:rsidP="006A028A">
      <w:pPr>
        <w:pStyle w:val="ListParagraph"/>
        <w:tabs>
          <w:tab w:val="left" w:pos="720"/>
        </w:tabs>
        <w:spacing w:after="0" w:line="240" w:lineRule="auto"/>
        <w:ind w:left="0"/>
        <w:jc w:val="both"/>
        <w:rPr>
          <w:rFonts w:ascii="Arial" w:hAnsi="Arial" w:cs="Arial"/>
        </w:rPr>
      </w:pPr>
    </w:p>
    <w:p w14:paraId="26AF1C75" w14:textId="68D037EB" w:rsidR="002C0B4E" w:rsidRPr="008357B5" w:rsidRDefault="002B16D2" w:rsidP="002E212F">
      <w:pPr>
        <w:pStyle w:val="Bodytext1"/>
        <w:shd w:val="clear" w:color="auto" w:fill="auto"/>
        <w:tabs>
          <w:tab w:val="left" w:pos="0"/>
          <w:tab w:val="left" w:pos="3828"/>
        </w:tabs>
        <w:spacing w:before="0" w:after="0" w:line="240" w:lineRule="auto"/>
        <w:ind w:right="55" w:firstLine="0"/>
        <w:jc w:val="both"/>
      </w:pPr>
      <w:r w:rsidRPr="008357B5">
        <w:rPr>
          <w:rFonts w:ascii="Arial" w:hAnsi="Arial" w:cs="Arial"/>
          <w:sz w:val="22"/>
          <w:szCs w:val="22"/>
        </w:rPr>
        <w:t>3.3. KITOS PIRKIMO OBJEKTO SAVYBĖS</w:t>
      </w:r>
    </w:p>
    <w:p w14:paraId="518B65FF" w14:textId="52227811" w:rsidR="002C0B4E" w:rsidRPr="008357B5" w:rsidRDefault="002C0B4E" w:rsidP="002C0B4E">
      <w:pPr>
        <w:spacing w:before="60" w:after="120"/>
        <w:jc w:val="both"/>
        <w:rPr>
          <w:rFonts w:ascii="Arial" w:hAnsi="Arial" w:cs="Arial"/>
          <w:sz w:val="22"/>
          <w:szCs w:val="22"/>
        </w:rPr>
      </w:pPr>
      <w:r w:rsidRPr="008357B5">
        <w:rPr>
          <w:rFonts w:ascii="Arial" w:hAnsi="Arial" w:cs="Arial"/>
          <w:sz w:val="22"/>
          <w:szCs w:val="22"/>
        </w:rPr>
        <w:t xml:space="preserve">3.3.3. </w:t>
      </w:r>
      <w:r w:rsidR="00EE3368" w:rsidRPr="008357B5">
        <w:rPr>
          <w:rFonts w:ascii="Arial" w:hAnsi="Arial" w:cs="Arial"/>
          <w:sz w:val="22"/>
          <w:szCs w:val="22"/>
        </w:rPr>
        <w:t>Audito</w:t>
      </w:r>
      <w:r w:rsidR="00E552DD" w:rsidRPr="008357B5">
        <w:rPr>
          <w:rFonts w:ascii="Arial" w:hAnsi="Arial" w:cs="Arial"/>
          <w:sz w:val="22"/>
          <w:szCs w:val="22"/>
        </w:rPr>
        <w:t xml:space="preserve"> ir patikros</w:t>
      </w:r>
      <w:r w:rsidR="00EE3368" w:rsidRPr="008357B5">
        <w:rPr>
          <w:rFonts w:ascii="Arial" w:hAnsi="Arial" w:cs="Arial"/>
          <w:sz w:val="22"/>
          <w:szCs w:val="22"/>
        </w:rPr>
        <w:t xml:space="preserve"> paslaugų teikėjas įsipareigoja nedelsiant informuoti Bendrovę apie nuo jo nepriklausančias aplinkybes, keliančias pavojų teikiamų paslaugų kokybei ir/arba terminų laikymuisi. </w:t>
      </w:r>
    </w:p>
    <w:p w14:paraId="453A078B" w14:textId="0F6515C5" w:rsidR="002C0B4E" w:rsidRPr="008357B5" w:rsidRDefault="002C0B4E" w:rsidP="002C0B4E">
      <w:pPr>
        <w:spacing w:before="60" w:after="120"/>
        <w:jc w:val="both"/>
        <w:rPr>
          <w:rFonts w:ascii="Arial" w:hAnsi="Arial" w:cs="Arial"/>
          <w:sz w:val="22"/>
          <w:szCs w:val="22"/>
        </w:rPr>
      </w:pPr>
      <w:r w:rsidRPr="008357B5">
        <w:rPr>
          <w:rFonts w:ascii="Arial" w:hAnsi="Arial" w:cs="Arial"/>
          <w:sz w:val="22"/>
          <w:szCs w:val="22"/>
        </w:rPr>
        <w:t xml:space="preserve">3.3.4. </w:t>
      </w:r>
      <w:r w:rsidR="00EE3368" w:rsidRPr="008357B5">
        <w:rPr>
          <w:rFonts w:ascii="Arial" w:hAnsi="Arial" w:cs="Arial"/>
          <w:sz w:val="22"/>
          <w:szCs w:val="22"/>
        </w:rPr>
        <w:t>Audito</w:t>
      </w:r>
      <w:r w:rsidR="00E552DD" w:rsidRPr="008357B5">
        <w:rPr>
          <w:rFonts w:ascii="Arial" w:hAnsi="Arial" w:cs="Arial"/>
          <w:sz w:val="22"/>
          <w:szCs w:val="22"/>
        </w:rPr>
        <w:t xml:space="preserve"> ir patikros</w:t>
      </w:r>
      <w:r w:rsidR="00EE3368" w:rsidRPr="008357B5">
        <w:rPr>
          <w:rFonts w:ascii="Arial" w:hAnsi="Arial" w:cs="Arial"/>
          <w:sz w:val="22"/>
          <w:szCs w:val="22"/>
        </w:rPr>
        <w:t xml:space="preserve"> paslaugų teikėjas </w:t>
      </w:r>
      <w:r w:rsidR="00296888" w:rsidRPr="008357B5">
        <w:rPr>
          <w:rFonts w:ascii="Arial" w:hAnsi="Arial" w:cs="Arial"/>
          <w:sz w:val="22"/>
          <w:szCs w:val="22"/>
        </w:rPr>
        <w:t xml:space="preserve">turi </w:t>
      </w:r>
      <w:r w:rsidR="00EE3368" w:rsidRPr="008357B5">
        <w:rPr>
          <w:rFonts w:ascii="Arial" w:hAnsi="Arial" w:cs="Arial"/>
          <w:sz w:val="22"/>
          <w:szCs w:val="22"/>
        </w:rPr>
        <w:t>be papildomo užmokesčio konsultuoti Bendrovės personalą įvairiais einamaisiais finansinės apskaitos ir mokesčių klausimais, kurie yra susiję su vykdomu Bendrovės auditu</w:t>
      </w:r>
      <w:r w:rsidR="00E552DD" w:rsidRPr="008357B5">
        <w:rPr>
          <w:rFonts w:ascii="Arial" w:hAnsi="Arial" w:cs="Arial"/>
          <w:sz w:val="22"/>
          <w:szCs w:val="22"/>
        </w:rPr>
        <w:t xml:space="preserve"> ar patikra</w:t>
      </w:r>
      <w:r w:rsidR="00EE3368" w:rsidRPr="008357B5">
        <w:rPr>
          <w:rFonts w:ascii="Arial" w:hAnsi="Arial" w:cs="Arial"/>
          <w:sz w:val="22"/>
          <w:szCs w:val="22"/>
        </w:rPr>
        <w:t xml:space="preserve">. Užsakovui raštu, el. paštu ar kitais būdais pateikus klausimą, Audito </w:t>
      </w:r>
      <w:r w:rsidR="00E552DD" w:rsidRPr="008357B5">
        <w:rPr>
          <w:rFonts w:ascii="Arial" w:hAnsi="Arial" w:cs="Arial"/>
          <w:sz w:val="22"/>
          <w:szCs w:val="22"/>
        </w:rPr>
        <w:t xml:space="preserve">ir patikros </w:t>
      </w:r>
      <w:r w:rsidR="00EE3368" w:rsidRPr="008357B5">
        <w:rPr>
          <w:rFonts w:ascii="Arial" w:hAnsi="Arial" w:cs="Arial"/>
          <w:sz w:val="22"/>
          <w:szCs w:val="22"/>
        </w:rPr>
        <w:t xml:space="preserve">paslaugų teikėjas įsipareigoja pateikti atsakymą </w:t>
      </w:r>
      <w:r w:rsidR="00296888" w:rsidRPr="008357B5">
        <w:rPr>
          <w:rFonts w:ascii="Arial" w:hAnsi="Arial" w:cs="Arial"/>
          <w:sz w:val="22"/>
          <w:szCs w:val="22"/>
        </w:rPr>
        <w:t xml:space="preserve">ne vėliau kaip </w:t>
      </w:r>
      <w:r w:rsidR="00EE3368" w:rsidRPr="008357B5">
        <w:rPr>
          <w:rFonts w:ascii="Arial" w:hAnsi="Arial" w:cs="Arial"/>
          <w:sz w:val="22"/>
          <w:szCs w:val="22"/>
        </w:rPr>
        <w:t>per 3 darbo dienas arba, esant poreikiui, pateikti patikslinančius klausimus ir informuoti apie galutinio atsakymo pateikimo terminą.</w:t>
      </w:r>
    </w:p>
    <w:p w14:paraId="0329152D" w14:textId="2970F523" w:rsidR="00EE3368" w:rsidRPr="008357B5" w:rsidRDefault="002C0B4E" w:rsidP="002C0B4E">
      <w:pPr>
        <w:spacing w:before="60" w:after="120"/>
        <w:jc w:val="both"/>
        <w:rPr>
          <w:rFonts w:ascii="Arial" w:hAnsi="Arial" w:cs="Arial"/>
          <w:i/>
          <w:sz w:val="22"/>
          <w:szCs w:val="22"/>
        </w:rPr>
      </w:pPr>
      <w:r w:rsidRPr="008357B5">
        <w:rPr>
          <w:rFonts w:ascii="Arial" w:hAnsi="Arial" w:cs="Arial"/>
          <w:sz w:val="22"/>
          <w:szCs w:val="22"/>
        </w:rPr>
        <w:t xml:space="preserve">3.3.5. </w:t>
      </w:r>
      <w:r w:rsidR="00EE3368" w:rsidRPr="008357B5">
        <w:rPr>
          <w:rFonts w:ascii="Arial" w:hAnsi="Arial" w:cs="Arial"/>
          <w:sz w:val="22"/>
          <w:szCs w:val="22"/>
        </w:rPr>
        <w:t>Audito</w:t>
      </w:r>
      <w:r w:rsidR="00E552DD" w:rsidRPr="008357B5">
        <w:rPr>
          <w:rFonts w:ascii="Arial" w:hAnsi="Arial" w:cs="Arial"/>
          <w:sz w:val="22"/>
          <w:szCs w:val="22"/>
        </w:rPr>
        <w:t xml:space="preserve"> ir patikros</w:t>
      </w:r>
      <w:r w:rsidR="00EE3368" w:rsidRPr="008357B5">
        <w:rPr>
          <w:rFonts w:ascii="Arial" w:hAnsi="Arial" w:cs="Arial"/>
          <w:sz w:val="22"/>
          <w:szCs w:val="22"/>
        </w:rPr>
        <w:t xml:space="preserve"> paslaugų teikėjas įsipareigoja atlikti auditą pagal Tarptautinius audito standartus, vadovaujantis </w:t>
      </w:r>
      <w:r w:rsidR="00E552DD" w:rsidRPr="008357B5">
        <w:rPr>
          <w:rFonts w:ascii="Arial" w:eastAsia="Calibri" w:hAnsi="Arial" w:cs="Arial"/>
          <w:sz w:val="22"/>
          <w:szCs w:val="22"/>
        </w:rPr>
        <w:t>Valstybinės energetikos reguliavimo tarybos 2019 m. rugsėjo 2 d. nutarimu Nr. O3E-386 „Dėl reguliuojamos veiklos ataskaitų patikros techninės užduoties patvirtinimo“</w:t>
      </w:r>
      <w:r w:rsidR="00EE3368" w:rsidRPr="008357B5">
        <w:rPr>
          <w:rFonts w:ascii="Arial" w:eastAsia="Calibri" w:hAnsi="Arial" w:cs="Arial"/>
          <w:sz w:val="22"/>
          <w:szCs w:val="22"/>
        </w:rPr>
        <w:t xml:space="preserve"> </w:t>
      </w:r>
      <w:r w:rsidR="00EE3368" w:rsidRPr="008357B5">
        <w:rPr>
          <w:rFonts w:ascii="Arial" w:hAnsi="Arial" w:cs="Arial"/>
          <w:sz w:val="22"/>
          <w:szCs w:val="22"/>
        </w:rPr>
        <w:t xml:space="preserve">Lietuvos Respublikos įstatymais bei kitais galiojančiais teisės aktais. Jeigu audito </w:t>
      </w:r>
      <w:r w:rsidR="00E552DD" w:rsidRPr="008357B5">
        <w:rPr>
          <w:rFonts w:ascii="Arial" w:hAnsi="Arial" w:cs="Arial"/>
          <w:sz w:val="22"/>
          <w:szCs w:val="22"/>
        </w:rPr>
        <w:t xml:space="preserve">ir patikros </w:t>
      </w:r>
      <w:r w:rsidR="00EE3368" w:rsidRPr="008357B5">
        <w:rPr>
          <w:rFonts w:ascii="Arial" w:hAnsi="Arial" w:cs="Arial"/>
          <w:sz w:val="22"/>
          <w:szCs w:val="22"/>
        </w:rPr>
        <w:t>paslaugų teikimo metu teisės aktai nustatys Bendrovei, audito įmonėms ar auditoriams papildomus įsipareigojimus, šios paslaugos įeis į perkamų audito paslaugų apimtį ir kain</w:t>
      </w:r>
      <w:r w:rsidR="00E6605A" w:rsidRPr="008357B5">
        <w:rPr>
          <w:rFonts w:ascii="Arial" w:hAnsi="Arial" w:cs="Arial"/>
          <w:sz w:val="22"/>
          <w:szCs w:val="22"/>
        </w:rPr>
        <w:t>ą</w:t>
      </w:r>
      <w:r w:rsidR="00EE3368" w:rsidRPr="008357B5">
        <w:rPr>
          <w:rFonts w:ascii="Arial" w:hAnsi="Arial" w:cs="Arial"/>
          <w:sz w:val="22"/>
          <w:szCs w:val="22"/>
        </w:rPr>
        <w:t>.</w:t>
      </w:r>
    </w:p>
    <w:p w14:paraId="5D943FC7" w14:textId="77777777" w:rsidR="00F50F2E" w:rsidRPr="008357B5" w:rsidRDefault="00F50F2E" w:rsidP="00502ED9">
      <w:pPr>
        <w:pStyle w:val="ListParagraph"/>
        <w:tabs>
          <w:tab w:val="left" w:pos="720"/>
          <w:tab w:val="left" w:pos="902"/>
        </w:tabs>
        <w:spacing w:after="0" w:line="240" w:lineRule="auto"/>
        <w:ind w:left="0"/>
        <w:jc w:val="both"/>
        <w:rPr>
          <w:rFonts w:ascii="Arial" w:hAnsi="Arial" w:cs="Arial"/>
          <w:i/>
        </w:rPr>
      </w:pPr>
      <w:bookmarkStart w:id="0" w:name="_GoBack"/>
      <w:bookmarkEnd w:id="0"/>
    </w:p>
    <w:p w14:paraId="617541E4" w14:textId="3400E821" w:rsidR="002B16D2" w:rsidRPr="00BE5463" w:rsidRDefault="002B16D2" w:rsidP="00CC2ED6">
      <w:pPr>
        <w:pStyle w:val="Bodytext1"/>
        <w:shd w:val="clear" w:color="auto" w:fill="auto"/>
        <w:tabs>
          <w:tab w:val="left" w:pos="0"/>
          <w:tab w:val="left" w:pos="3828"/>
        </w:tabs>
        <w:spacing w:before="0" w:after="0" w:line="240" w:lineRule="auto"/>
        <w:ind w:right="55" w:firstLine="0"/>
        <w:jc w:val="both"/>
        <w:rPr>
          <w:rFonts w:ascii="Arial" w:hAnsi="Arial" w:cs="Arial"/>
          <w:b/>
          <w:sz w:val="22"/>
          <w:szCs w:val="22"/>
        </w:rPr>
      </w:pPr>
      <w:r w:rsidRPr="008357B5">
        <w:rPr>
          <w:rFonts w:ascii="Arial" w:hAnsi="Arial" w:cs="Arial"/>
          <w:b/>
          <w:sz w:val="22"/>
          <w:szCs w:val="22"/>
        </w:rPr>
        <w:t xml:space="preserve">4. </w:t>
      </w:r>
      <w:r w:rsidRPr="00BE5463">
        <w:rPr>
          <w:rFonts w:ascii="Arial" w:hAnsi="Arial" w:cs="Arial"/>
          <w:b/>
          <w:sz w:val="22"/>
          <w:szCs w:val="22"/>
        </w:rPr>
        <w:t>DOKUMENTAI, REIKALINGI PIRKIMO OBJEKTO KOKYBEI PATVIRTINTI</w:t>
      </w:r>
    </w:p>
    <w:p w14:paraId="6A6DADA7" w14:textId="77777777" w:rsidR="002B16D2" w:rsidRPr="00BE5463" w:rsidRDefault="002B16D2" w:rsidP="00CC2ED6">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p w14:paraId="61C91BA7" w14:textId="2C64A1F5" w:rsidR="00713CBF" w:rsidRPr="00BE5463" w:rsidRDefault="002B16D2" w:rsidP="00713CBF">
      <w:pPr>
        <w:pStyle w:val="Bodytext20"/>
        <w:shd w:val="clear" w:color="auto" w:fill="auto"/>
        <w:tabs>
          <w:tab w:val="left" w:pos="0"/>
          <w:tab w:val="left" w:pos="142"/>
          <w:tab w:val="left" w:pos="3828"/>
        </w:tabs>
        <w:spacing w:line="240" w:lineRule="auto"/>
        <w:ind w:right="55" w:firstLine="0"/>
        <w:jc w:val="both"/>
        <w:rPr>
          <w:rFonts w:ascii="Arial" w:hAnsi="Arial" w:cs="Arial"/>
          <w:sz w:val="22"/>
          <w:szCs w:val="22"/>
        </w:rPr>
      </w:pPr>
      <w:r w:rsidRPr="00BE5463">
        <w:rPr>
          <w:rStyle w:val="Bodytext2NotItalic1"/>
          <w:rFonts w:ascii="Arial" w:hAnsi="Arial" w:cs="Arial"/>
          <w:sz w:val="22"/>
          <w:szCs w:val="22"/>
        </w:rPr>
        <w:t xml:space="preserve">4.1. </w:t>
      </w:r>
      <w:r w:rsidRPr="00BE5463">
        <w:rPr>
          <w:rFonts w:ascii="Arial" w:hAnsi="Arial" w:cs="Arial"/>
          <w:i w:val="0"/>
          <w:sz w:val="22"/>
          <w:szCs w:val="22"/>
        </w:rPr>
        <w:t>DOKUMENTAI, KURIUOS REIKIA PATEIKTI PERDUODANT SUTEIKTAS PASLAUGAS</w:t>
      </w:r>
      <w:r w:rsidR="00F003EC" w:rsidRPr="00BE5463">
        <w:rPr>
          <w:rFonts w:ascii="Arial" w:hAnsi="Arial" w:cs="Arial"/>
          <w:i w:val="0"/>
          <w:sz w:val="22"/>
          <w:szCs w:val="22"/>
        </w:rPr>
        <w:t xml:space="preserve"> </w:t>
      </w:r>
    </w:p>
    <w:p w14:paraId="36C87764" w14:textId="33456D52" w:rsidR="008E5E2E" w:rsidRPr="00BE5463" w:rsidRDefault="008E5E2E" w:rsidP="00F3698A">
      <w:pPr>
        <w:pStyle w:val="Bodytext20"/>
        <w:shd w:val="clear" w:color="auto" w:fill="auto"/>
        <w:tabs>
          <w:tab w:val="left" w:pos="0"/>
          <w:tab w:val="left" w:pos="142"/>
          <w:tab w:val="left" w:pos="3828"/>
        </w:tabs>
        <w:spacing w:line="240" w:lineRule="auto"/>
        <w:ind w:right="55" w:firstLine="0"/>
        <w:jc w:val="both"/>
        <w:rPr>
          <w:rStyle w:val="FontStyle23"/>
          <w:rFonts w:ascii="Arial" w:hAnsi="Arial" w:cs="Arial"/>
          <w:sz w:val="16"/>
          <w:szCs w:val="16"/>
        </w:rPr>
      </w:pPr>
    </w:p>
    <w:p w14:paraId="55ED75BF" w14:textId="7C4FFBEB" w:rsidR="002C0B4E" w:rsidRPr="00BE5463" w:rsidRDefault="008F64DA" w:rsidP="00480001">
      <w:pPr>
        <w:pStyle w:val="ListParagraph"/>
        <w:numPr>
          <w:ilvl w:val="2"/>
          <w:numId w:val="14"/>
        </w:numPr>
        <w:tabs>
          <w:tab w:val="left" w:pos="720"/>
        </w:tabs>
        <w:jc w:val="both"/>
        <w:rPr>
          <w:rFonts w:ascii="Arial" w:hAnsi="Arial" w:cs="Arial"/>
        </w:rPr>
      </w:pPr>
      <w:r w:rsidRPr="00BE5463">
        <w:rPr>
          <w:rFonts w:ascii="Arial" w:hAnsi="Arial" w:cs="Arial"/>
        </w:rPr>
        <w:t xml:space="preserve">Auditoriaus išvada </w:t>
      </w:r>
      <w:r w:rsidR="007263E8" w:rsidRPr="00BE5463">
        <w:rPr>
          <w:rFonts w:ascii="Arial" w:hAnsi="Arial" w:cs="Arial"/>
        </w:rPr>
        <w:t xml:space="preserve">apie audituotas atitinkamų metų Bendrovės metines finansines ataskaitas </w:t>
      </w:r>
      <w:r w:rsidRPr="00BE5463">
        <w:rPr>
          <w:rFonts w:ascii="Arial" w:hAnsi="Arial" w:cs="Arial"/>
        </w:rPr>
        <w:t xml:space="preserve">kartu su audituotu finansinių ataskaitų rinkiniu turi būti pateikta </w:t>
      </w:r>
      <w:r w:rsidR="0024104E" w:rsidRPr="00BE5463">
        <w:rPr>
          <w:rFonts w:ascii="Arial" w:hAnsi="Arial" w:cs="Arial"/>
        </w:rPr>
        <w:t>4</w:t>
      </w:r>
      <w:r w:rsidRPr="00BE5463">
        <w:rPr>
          <w:rFonts w:ascii="Arial" w:hAnsi="Arial" w:cs="Arial"/>
        </w:rPr>
        <w:t xml:space="preserve"> egz. lietuvių kalba ir </w:t>
      </w:r>
      <w:r w:rsidR="0024104E" w:rsidRPr="00BE5463">
        <w:rPr>
          <w:rFonts w:ascii="Arial" w:hAnsi="Arial" w:cs="Arial"/>
        </w:rPr>
        <w:t>2</w:t>
      </w:r>
      <w:r w:rsidRPr="00BE5463">
        <w:rPr>
          <w:rFonts w:ascii="Arial" w:hAnsi="Arial" w:cs="Arial"/>
        </w:rPr>
        <w:t xml:space="preserve"> egz. anglų kalba.</w:t>
      </w:r>
    </w:p>
    <w:p w14:paraId="3C7D433D" w14:textId="10D96FE3" w:rsidR="00480001" w:rsidRPr="00BE5463" w:rsidRDefault="008F64DA" w:rsidP="00480001">
      <w:pPr>
        <w:pStyle w:val="ListParagraph"/>
        <w:numPr>
          <w:ilvl w:val="2"/>
          <w:numId w:val="14"/>
        </w:numPr>
        <w:tabs>
          <w:tab w:val="left" w:pos="720"/>
        </w:tabs>
        <w:jc w:val="both"/>
        <w:rPr>
          <w:rFonts w:ascii="Arial" w:hAnsi="Arial" w:cs="Arial"/>
        </w:rPr>
      </w:pPr>
      <w:r w:rsidRPr="00BE5463">
        <w:rPr>
          <w:rFonts w:ascii="Arial" w:hAnsi="Arial" w:cs="Arial"/>
        </w:rPr>
        <w:t xml:space="preserve">Auditoriaus </w:t>
      </w:r>
      <w:r w:rsidR="005C3EAF" w:rsidRPr="00BE5463">
        <w:rPr>
          <w:rFonts w:ascii="Arial" w:hAnsi="Arial" w:cs="Arial"/>
        </w:rPr>
        <w:t>patikros ataskaita</w:t>
      </w:r>
      <w:r w:rsidRPr="00BE5463">
        <w:rPr>
          <w:rFonts w:ascii="Arial" w:hAnsi="Arial" w:cs="Arial"/>
        </w:rPr>
        <w:t xml:space="preserve"> </w:t>
      </w:r>
      <w:r w:rsidR="007263E8" w:rsidRPr="00BE5463">
        <w:rPr>
          <w:rFonts w:ascii="Arial" w:hAnsi="Arial" w:cs="Arial"/>
        </w:rPr>
        <w:t xml:space="preserve">apie audituotas atitinkamų metų metines finansines ataskaitas </w:t>
      </w:r>
      <w:r w:rsidRPr="00BE5463">
        <w:rPr>
          <w:rFonts w:ascii="Arial" w:hAnsi="Arial" w:cs="Arial"/>
        </w:rPr>
        <w:t xml:space="preserve">kartu su </w:t>
      </w:r>
      <w:r w:rsidR="005C3EAF" w:rsidRPr="00BE5463">
        <w:rPr>
          <w:rFonts w:ascii="Arial" w:hAnsi="Arial" w:cs="Arial"/>
        </w:rPr>
        <w:t>patikros procedūroms atlikti naudota esmine informacija, nurodyta Valstybinės energetikos reguliavimo tarybos  patvirtintoje reguliuojamos veiklos ataskaitų patikros techninėje užduotyje,</w:t>
      </w:r>
      <w:r w:rsidRPr="00BE5463">
        <w:rPr>
          <w:rFonts w:ascii="Arial" w:hAnsi="Arial" w:cs="Arial"/>
        </w:rPr>
        <w:t xml:space="preserve"> turi būti pateikta </w:t>
      </w:r>
      <w:r w:rsidR="00626943" w:rsidRPr="00BE5463">
        <w:rPr>
          <w:rFonts w:ascii="Arial" w:hAnsi="Arial" w:cs="Arial"/>
        </w:rPr>
        <w:t>3</w:t>
      </w:r>
      <w:r w:rsidRPr="00BE5463">
        <w:rPr>
          <w:rFonts w:ascii="Arial" w:hAnsi="Arial" w:cs="Arial"/>
        </w:rPr>
        <w:t xml:space="preserve"> egz. lietuvių kalba</w:t>
      </w:r>
      <w:r w:rsidR="00730C12" w:rsidRPr="00BE5463">
        <w:rPr>
          <w:rFonts w:ascii="Arial" w:hAnsi="Arial" w:cs="Arial"/>
        </w:rPr>
        <w:t>.</w:t>
      </w:r>
      <w:r w:rsidR="0024104E" w:rsidRPr="00BE5463">
        <w:rPr>
          <w:rFonts w:ascii="Arial" w:hAnsi="Arial" w:cs="Arial"/>
        </w:rPr>
        <w:t xml:space="preserve"> </w:t>
      </w:r>
    </w:p>
    <w:p w14:paraId="64BAE5DB" w14:textId="4C65E148" w:rsidR="00480001" w:rsidRPr="00BE5463" w:rsidRDefault="008F64DA" w:rsidP="00480001">
      <w:pPr>
        <w:pStyle w:val="ListParagraph"/>
        <w:numPr>
          <w:ilvl w:val="2"/>
          <w:numId w:val="14"/>
        </w:numPr>
        <w:tabs>
          <w:tab w:val="left" w:pos="720"/>
        </w:tabs>
        <w:jc w:val="both"/>
        <w:rPr>
          <w:rFonts w:ascii="Arial" w:hAnsi="Arial" w:cs="Arial"/>
        </w:rPr>
      </w:pPr>
      <w:r w:rsidRPr="00BE5463">
        <w:rPr>
          <w:rFonts w:ascii="Arial" w:hAnsi="Arial" w:cs="Arial"/>
        </w:rPr>
        <w:lastRenderedPageBreak/>
        <w:t>A</w:t>
      </w:r>
      <w:r w:rsidR="001103EE" w:rsidRPr="00BE5463">
        <w:rPr>
          <w:rFonts w:ascii="Arial" w:hAnsi="Arial" w:cs="Arial"/>
        </w:rPr>
        <w:t>titinkamų metų a</w:t>
      </w:r>
      <w:r w:rsidRPr="00BE5463">
        <w:rPr>
          <w:rFonts w:ascii="Arial" w:hAnsi="Arial" w:cs="Arial"/>
        </w:rPr>
        <w:t>udito ataskaita lietuvių kalba turi būti pateikta 2 egz.</w:t>
      </w:r>
      <w:r w:rsidR="0024104E" w:rsidRPr="00BE5463">
        <w:rPr>
          <w:rFonts w:ascii="Arial" w:hAnsi="Arial" w:cs="Arial"/>
        </w:rPr>
        <w:t xml:space="preserve"> lietuvių </w:t>
      </w:r>
      <w:r w:rsidR="00877C72" w:rsidRPr="00BE5463">
        <w:rPr>
          <w:rFonts w:ascii="Arial" w:hAnsi="Arial" w:cs="Arial"/>
        </w:rPr>
        <w:t>kalba ir anglų kalba.</w:t>
      </w:r>
    </w:p>
    <w:p w14:paraId="73B99BCA" w14:textId="426BA4DD" w:rsidR="00415B33" w:rsidRPr="00BE5463" w:rsidRDefault="001103EE" w:rsidP="00407219">
      <w:pPr>
        <w:pStyle w:val="ListParagraph"/>
        <w:numPr>
          <w:ilvl w:val="2"/>
          <w:numId w:val="14"/>
        </w:numPr>
        <w:tabs>
          <w:tab w:val="left" w:pos="720"/>
          <w:tab w:val="left" w:pos="3828"/>
        </w:tabs>
        <w:jc w:val="both"/>
        <w:rPr>
          <w:rFonts w:ascii="Arial" w:hAnsi="Arial" w:cs="Arial"/>
        </w:rPr>
      </w:pPr>
      <w:r w:rsidRPr="00BE5463">
        <w:rPr>
          <w:rFonts w:ascii="Arial" w:hAnsi="Arial" w:cs="Arial"/>
        </w:rPr>
        <w:t>Atitinkamų metų r</w:t>
      </w:r>
      <w:r w:rsidR="008F64DA" w:rsidRPr="00BE5463">
        <w:rPr>
          <w:rFonts w:ascii="Arial" w:hAnsi="Arial" w:cs="Arial"/>
        </w:rPr>
        <w:t xml:space="preserve">ekomendacijų laiškas (1 egz. lietuvių kalba) kartu su auditoriaus </w:t>
      </w:r>
      <w:r w:rsidR="005C3EAF" w:rsidRPr="00BE5463">
        <w:rPr>
          <w:rFonts w:ascii="Arial" w:hAnsi="Arial" w:cs="Arial"/>
        </w:rPr>
        <w:t xml:space="preserve">patikros ataskaita </w:t>
      </w:r>
      <w:r w:rsidR="008F64DA" w:rsidRPr="00BE5463">
        <w:rPr>
          <w:rFonts w:ascii="Arial" w:hAnsi="Arial" w:cs="Arial"/>
        </w:rPr>
        <w:t>dėl Bendrovės reguliuojamos veiklos ataskaitų turi būti pateikiamas tik tuo atveju, jei Audito</w:t>
      </w:r>
      <w:r w:rsidR="005C3EAF" w:rsidRPr="00BE5463">
        <w:rPr>
          <w:rFonts w:ascii="Arial" w:hAnsi="Arial" w:cs="Arial"/>
        </w:rPr>
        <w:t xml:space="preserve"> ir patikros</w:t>
      </w:r>
      <w:r w:rsidR="008F64DA" w:rsidRPr="00BE5463">
        <w:rPr>
          <w:rFonts w:ascii="Arial" w:hAnsi="Arial" w:cs="Arial"/>
        </w:rPr>
        <w:t xml:space="preserve"> paslaugų teikėjas turi atitinkamų pastebėjimų dėl Bendrovės reguliavimo apskaitos sistemos tobulinimo</w:t>
      </w:r>
      <w:r w:rsidR="008F64DA" w:rsidRPr="00BE5463">
        <w:rPr>
          <w:rFonts w:ascii="Arial" w:hAnsi="Arial" w:cs="Arial"/>
          <w:i/>
        </w:rPr>
        <w:t>.</w:t>
      </w:r>
    </w:p>
    <w:p w14:paraId="36A09AD0" w14:textId="23927CC8" w:rsidR="00BF1CDF" w:rsidRPr="00BE5463" w:rsidRDefault="00BF1CDF" w:rsidP="00E16332">
      <w:pPr>
        <w:pStyle w:val="Bodytext1"/>
        <w:shd w:val="clear" w:color="auto" w:fill="auto"/>
        <w:tabs>
          <w:tab w:val="left" w:pos="0"/>
          <w:tab w:val="left" w:pos="3828"/>
        </w:tabs>
        <w:spacing w:before="0" w:after="0" w:line="240" w:lineRule="auto"/>
        <w:ind w:right="55" w:firstLine="0"/>
        <w:jc w:val="both"/>
        <w:rPr>
          <w:rFonts w:ascii="Arial" w:hAnsi="Arial" w:cs="Arial"/>
          <w:b/>
          <w:sz w:val="22"/>
          <w:szCs w:val="22"/>
        </w:rPr>
      </w:pPr>
    </w:p>
    <w:sectPr w:rsidR="00BF1CDF" w:rsidRPr="00BE5463" w:rsidSect="00415B33">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36B70" w14:textId="77777777" w:rsidR="00EA7DED" w:rsidRDefault="00EA7DED">
      <w:r>
        <w:separator/>
      </w:r>
    </w:p>
  </w:endnote>
  <w:endnote w:type="continuationSeparator" w:id="0">
    <w:p w14:paraId="30EA1E7B" w14:textId="77777777" w:rsidR="00EA7DED" w:rsidRDefault="00EA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25B50" w14:textId="77777777" w:rsidR="00EA7DED" w:rsidRDefault="00EA7DED">
      <w:r>
        <w:separator/>
      </w:r>
    </w:p>
  </w:footnote>
  <w:footnote w:type="continuationSeparator" w:id="0">
    <w:p w14:paraId="5C712436" w14:textId="77777777" w:rsidR="00EA7DED" w:rsidRDefault="00EA7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50005B0"/>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Arial" w:eastAsia="Arial Unicode MS" w:hAnsi="Arial" w:cs="Arial"/>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692133"/>
    <w:multiLevelType w:val="multilevel"/>
    <w:tmpl w:val="906C136A"/>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2841AE"/>
    <w:multiLevelType w:val="multilevel"/>
    <w:tmpl w:val="0522682E"/>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BE08E1"/>
    <w:multiLevelType w:val="hybridMultilevel"/>
    <w:tmpl w:val="476EAFD8"/>
    <w:lvl w:ilvl="0" w:tplc="D284A4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4BA320F"/>
    <w:multiLevelType w:val="multilevel"/>
    <w:tmpl w:val="70DC4B1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289E7C7B"/>
    <w:multiLevelType w:val="multilevel"/>
    <w:tmpl w:val="BC06BFDC"/>
    <w:lvl w:ilvl="0">
      <w:start w:val="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0" w15:restartNumberingAfterBreak="0">
    <w:nsid w:val="36FB7A2D"/>
    <w:multiLevelType w:val="multilevel"/>
    <w:tmpl w:val="DA4AFD52"/>
    <w:lvl w:ilvl="0">
      <w:start w:val="5"/>
      <w:numFmt w:val="decimal"/>
      <w:lvlText w:val="%1."/>
      <w:lvlJc w:val="left"/>
      <w:pPr>
        <w:ind w:left="540" w:hanging="540"/>
      </w:pPr>
      <w:rPr>
        <w:rFonts w:eastAsiaTheme="minorHAnsi" w:hint="default"/>
        <w:i/>
        <w:color w:val="auto"/>
        <w:sz w:val="22"/>
      </w:rPr>
    </w:lvl>
    <w:lvl w:ilvl="1">
      <w:start w:val="2"/>
      <w:numFmt w:val="decimal"/>
      <w:lvlText w:val="%1.%2."/>
      <w:lvlJc w:val="left"/>
      <w:pPr>
        <w:ind w:left="720" w:hanging="720"/>
      </w:pPr>
      <w:rPr>
        <w:rFonts w:eastAsiaTheme="minorHAnsi" w:hint="default"/>
        <w:i/>
        <w:color w:val="auto"/>
        <w:sz w:val="22"/>
      </w:rPr>
    </w:lvl>
    <w:lvl w:ilvl="2">
      <w:start w:val="1"/>
      <w:numFmt w:val="decimal"/>
      <w:lvlText w:val="%1.%2.%3."/>
      <w:lvlJc w:val="left"/>
      <w:pPr>
        <w:ind w:left="720" w:hanging="720"/>
      </w:pPr>
      <w:rPr>
        <w:rFonts w:eastAsiaTheme="minorHAnsi" w:hint="default"/>
        <w:i/>
        <w:color w:val="auto"/>
        <w:sz w:val="22"/>
      </w:rPr>
    </w:lvl>
    <w:lvl w:ilvl="3">
      <w:start w:val="1"/>
      <w:numFmt w:val="decimal"/>
      <w:lvlText w:val="%1.%2.%3.%4."/>
      <w:lvlJc w:val="left"/>
      <w:pPr>
        <w:ind w:left="1080" w:hanging="1080"/>
      </w:pPr>
      <w:rPr>
        <w:rFonts w:eastAsiaTheme="minorHAnsi" w:hint="default"/>
        <w:i/>
        <w:color w:val="auto"/>
        <w:sz w:val="22"/>
      </w:rPr>
    </w:lvl>
    <w:lvl w:ilvl="4">
      <w:start w:val="1"/>
      <w:numFmt w:val="decimal"/>
      <w:lvlText w:val="%1.%2.%3.%4.%5."/>
      <w:lvlJc w:val="left"/>
      <w:pPr>
        <w:ind w:left="1080" w:hanging="1080"/>
      </w:pPr>
      <w:rPr>
        <w:rFonts w:eastAsiaTheme="minorHAnsi" w:hint="default"/>
        <w:i/>
        <w:color w:val="auto"/>
        <w:sz w:val="22"/>
      </w:rPr>
    </w:lvl>
    <w:lvl w:ilvl="5">
      <w:start w:val="1"/>
      <w:numFmt w:val="decimal"/>
      <w:lvlText w:val="%1.%2.%3.%4.%5.%6."/>
      <w:lvlJc w:val="left"/>
      <w:pPr>
        <w:ind w:left="1440" w:hanging="1440"/>
      </w:pPr>
      <w:rPr>
        <w:rFonts w:eastAsiaTheme="minorHAnsi" w:hint="default"/>
        <w:i/>
        <w:color w:val="auto"/>
        <w:sz w:val="22"/>
      </w:rPr>
    </w:lvl>
    <w:lvl w:ilvl="6">
      <w:start w:val="1"/>
      <w:numFmt w:val="decimal"/>
      <w:lvlText w:val="%1.%2.%3.%4.%5.%6.%7."/>
      <w:lvlJc w:val="left"/>
      <w:pPr>
        <w:ind w:left="1440" w:hanging="1440"/>
      </w:pPr>
      <w:rPr>
        <w:rFonts w:eastAsiaTheme="minorHAnsi" w:hint="default"/>
        <w:i/>
        <w:color w:val="auto"/>
        <w:sz w:val="22"/>
      </w:rPr>
    </w:lvl>
    <w:lvl w:ilvl="7">
      <w:start w:val="1"/>
      <w:numFmt w:val="decimal"/>
      <w:lvlText w:val="%1.%2.%3.%4.%5.%6.%7.%8."/>
      <w:lvlJc w:val="left"/>
      <w:pPr>
        <w:ind w:left="1800" w:hanging="1800"/>
      </w:pPr>
      <w:rPr>
        <w:rFonts w:eastAsiaTheme="minorHAnsi" w:hint="default"/>
        <w:i/>
        <w:color w:val="auto"/>
        <w:sz w:val="22"/>
      </w:rPr>
    </w:lvl>
    <w:lvl w:ilvl="8">
      <w:start w:val="1"/>
      <w:numFmt w:val="decimal"/>
      <w:lvlText w:val="%1.%2.%3.%4.%5.%6.%7.%8.%9."/>
      <w:lvlJc w:val="left"/>
      <w:pPr>
        <w:ind w:left="2160" w:hanging="2160"/>
      </w:pPr>
      <w:rPr>
        <w:rFonts w:eastAsiaTheme="minorHAnsi" w:hint="default"/>
        <w:i/>
        <w:color w:val="auto"/>
        <w:sz w:val="22"/>
      </w:rPr>
    </w:lvl>
  </w:abstractNum>
  <w:abstractNum w:abstractNumId="11" w15:restartNumberingAfterBreak="0">
    <w:nsid w:val="3B156031"/>
    <w:multiLevelType w:val="multilevel"/>
    <w:tmpl w:val="BC06BFDC"/>
    <w:lvl w:ilvl="0">
      <w:start w:val="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13937"/>
    <w:multiLevelType w:val="multilevel"/>
    <w:tmpl w:val="41DC27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063A80"/>
    <w:multiLevelType w:val="hybridMultilevel"/>
    <w:tmpl w:val="D0281976"/>
    <w:lvl w:ilvl="0" w:tplc="7AD012FA">
      <w:start w:val="1"/>
      <w:numFmt w:val="decimal"/>
      <w:lvlText w:val="2.2.%1."/>
      <w:lvlJc w:val="left"/>
      <w:pPr>
        <w:ind w:left="1291" w:hanging="360"/>
      </w:pPr>
      <w:rPr>
        <w:rFonts w:ascii="Arial" w:hAnsi="Arial" w:cs="Arial" w:hint="default"/>
      </w:rPr>
    </w:lvl>
    <w:lvl w:ilvl="1" w:tplc="04090019">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4" w15:restartNumberingAfterBreak="0">
    <w:nsid w:val="431366B6"/>
    <w:multiLevelType w:val="multilevel"/>
    <w:tmpl w:val="3D567FF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224A1"/>
    <w:multiLevelType w:val="hybridMultilevel"/>
    <w:tmpl w:val="79A8B54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03585"/>
    <w:multiLevelType w:val="hybridMultilevel"/>
    <w:tmpl w:val="BD7CE1F4"/>
    <w:lvl w:ilvl="0" w:tplc="FC5E3140">
      <w:start w:val="1"/>
      <w:numFmt w:val="decimal"/>
      <w:lvlText w:val="%1."/>
      <w:lvlJc w:val="left"/>
      <w:pPr>
        <w:ind w:left="720" w:hanging="360"/>
      </w:pPr>
      <w:rPr>
        <w:rFonts w:hint="default"/>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9668DC"/>
    <w:multiLevelType w:val="hybridMultilevel"/>
    <w:tmpl w:val="1A9E8092"/>
    <w:lvl w:ilvl="0" w:tplc="14324804">
      <w:start w:val="1"/>
      <w:numFmt w:val="decimal"/>
      <w:lvlText w:val="5.%1."/>
      <w:lvlJc w:val="left"/>
      <w:pPr>
        <w:ind w:left="502" w:hanging="360"/>
      </w:pPr>
      <w:rPr>
        <w:rFonts w:ascii="Arial" w:hAnsi="Arial" w:cs="Arial" w:hint="default"/>
        <w:b w:val="0"/>
      </w:r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9"/>
  </w:num>
  <w:num w:numId="4">
    <w:abstractNumId w:val="3"/>
  </w:num>
  <w:num w:numId="5">
    <w:abstractNumId w:val="7"/>
  </w:num>
  <w:num w:numId="6">
    <w:abstractNumId w:val="2"/>
  </w:num>
  <w:num w:numId="7">
    <w:abstractNumId w:val="11"/>
  </w:num>
  <w:num w:numId="8">
    <w:abstractNumId w:val="18"/>
  </w:num>
  <w:num w:numId="9">
    <w:abstractNumId w:val="8"/>
  </w:num>
  <w:num w:numId="10">
    <w:abstractNumId w:val="13"/>
  </w:num>
  <w:num w:numId="11">
    <w:abstractNumId w:val="12"/>
  </w:num>
  <w:num w:numId="12">
    <w:abstractNumId w:val="5"/>
  </w:num>
  <w:num w:numId="13">
    <w:abstractNumId w:val="12"/>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720" w:hanging="360"/>
        </w:pPr>
        <w:rPr>
          <w:rFonts w:hint="default"/>
          <w:b w:val="0"/>
          <w:i w:val="0"/>
          <w:sz w:val="22"/>
          <w:szCs w:val="22"/>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suff w:val="space"/>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4"/>
  </w:num>
  <w:num w:numId="15">
    <w:abstractNumId w:val="17"/>
  </w:num>
  <w:num w:numId="16">
    <w:abstractNumId w:val="16"/>
  </w:num>
  <w:num w:numId="17">
    <w:abstractNumId w:val="6"/>
  </w:num>
  <w:num w:numId="18">
    <w:abstractNumId w:val="1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57D3D"/>
    <w:rsid w:val="00061BEE"/>
    <w:rsid w:val="000656AB"/>
    <w:rsid w:val="00076C8A"/>
    <w:rsid w:val="00094BAE"/>
    <w:rsid w:val="000A1313"/>
    <w:rsid w:val="000E5B73"/>
    <w:rsid w:val="000F2C67"/>
    <w:rsid w:val="00100FB0"/>
    <w:rsid w:val="001103EE"/>
    <w:rsid w:val="00112C84"/>
    <w:rsid w:val="00126307"/>
    <w:rsid w:val="00132D2E"/>
    <w:rsid w:val="0014249A"/>
    <w:rsid w:val="00151561"/>
    <w:rsid w:val="0017598A"/>
    <w:rsid w:val="001923B5"/>
    <w:rsid w:val="001A2C9D"/>
    <w:rsid w:val="001B05B2"/>
    <w:rsid w:val="001D17E0"/>
    <w:rsid w:val="001E4AF2"/>
    <w:rsid w:val="001F694B"/>
    <w:rsid w:val="00204AA9"/>
    <w:rsid w:val="00213B1F"/>
    <w:rsid w:val="0024104E"/>
    <w:rsid w:val="00255E3C"/>
    <w:rsid w:val="00255F33"/>
    <w:rsid w:val="002638E3"/>
    <w:rsid w:val="00272E29"/>
    <w:rsid w:val="00281110"/>
    <w:rsid w:val="00282CE2"/>
    <w:rsid w:val="00291075"/>
    <w:rsid w:val="00296888"/>
    <w:rsid w:val="002A65B1"/>
    <w:rsid w:val="002B16D2"/>
    <w:rsid w:val="002C0B4E"/>
    <w:rsid w:val="002C3932"/>
    <w:rsid w:val="002E212F"/>
    <w:rsid w:val="002E50AA"/>
    <w:rsid w:val="002F505C"/>
    <w:rsid w:val="00305719"/>
    <w:rsid w:val="00310E61"/>
    <w:rsid w:val="003144D0"/>
    <w:rsid w:val="00317720"/>
    <w:rsid w:val="00323A7B"/>
    <w:rsid w:val="00330991"/>
    <w:rsid w:val="00364EF9"/>
    <w:rsid w:val="0039268B"/>
    <w:rsid w:val="00393529"/>
    <w:rsid w:val="003A4A5E"/>
    <w:rsid w:val="003A7C37"/>
    <w:rsid w:val="003B116B"/>
    <w:rsid w:val="003B3FFE"/>
    <w:rsid w:val="003C3042"/>
    <w:rsid w:val="003D79AC"/>
    <w:rsid w:val="003D7A81"/>
    <w:rsid w:val="003E1256"/>
    <w:rsid w:val="003F48FE"/>
    <w:rsid w:val="0040750F"/>
    <w:rsid w:val="0041314D"/>
    <w:rsid w:val="00415B33"/>
    <w:rsid w:val="00431185"/>
    <w:rsid w:val="00431D86"/>
    <w:rsid w:val="00443BBA"/>
    <w:rsid w:val="004457FA"/>
    <w:rsid w:val="00470FA3"/>
    <w:rsid w:val="00472AF4"/>
    <w:rsid w:val="00480001"/>
    <w:rsid w:val="004828EE"/>
    <w:rsid w:val="00491B63"/>
    <w:rsid w:val="0049616D"/>
    <w:rsid w:val="004B17C9"/>
    <w:rsid w:val="004E42E8"/>
    <w:rsid w:val="00502ED9"/>
    <w:rsid w:val="005135B3"/>
    <w:rsid w:val="00524C24"/>
    <w:rsid w:val="00525346"/>
    <w:rsid w:val="00526A01"/>
    <w:rsid w:val="00542A84"/>
    <w:rsid w:val="005443DC"/>
    <w:rsid w:val="00545634"/>
    <w:rsid w:val="00560FE0"/>
    <w:rsid w:val="00561296"/>
    <w:rsid w:val="005754C1"/>
    <w:rsid w:val="005765EE"/>
    <w:rsid w:val="00583057"/>
    <w:rsid w:val="00584F6E"/>
    <w:rsid w:val="00593E63"/>
    <w:rsid w:val="005A3224"/>
    <w:rsid w:val="005C1B7D"/>
    <w:rsid w:val="005C3EAF"/>
    <w:rsid w:val="005E7057"/>
    <w:rsid w:val="005F32BB"/>
    <w:rsid w:val="00601C55"/>
    <w:rsid w:val="00602D0A"/>
    <w:rsid w:val="00615C30"/>
    <w:rsid w:val="006234DF"/>
    <w:rsid w:val="00625A08"/>
    <w:rsid w:val="00626943"/>
    <w:rsid w:val="006431B4"/>
    <w:rsid w:val="00663F80"/>
    <w:rsid w:val="00665ADB"/>
    <w:rsid w:val="0067505B"/>
    <w:rsid w:val="00681AD3"/>
    <w:rsid w:val="00693373"/>
    <w:rsid w:val="0069580C"/>
    <w:rsid w:val="006A028A"/>
    <w:rsid w:val="006A0DD5"/>
    <w:rsid w:val="006C191B"/>
    <w:rsid w:val="006E203F"/>
    <w:rsid w:val="00702E4E"/>
    <w:rsid w:val="00710763"/>
    <w:rsid w:val="00713CBF"/>
    <w:rsid w:val="00723287"/>
    <w:rsid w:val="007240F6"/>
    <w:rsid w:val="007263E8"/>
    <w:rsid w:val="00730C12"/>
    <w:rsid w:val="00732F69"/>
    <w:rsid w:val="00745E4F"/>
    <w:rsid w:val="00762A5F"/>
    <w:rsid w:val="007729BA"/>
    <w:rsid w:val="00775C33"/>
    <w:rsid w:val="007778AE"/>
    <w:rsid w:val="00786301"/>
    <w:rsid w:val="00794EED"/>
    <w:rsid w:val="007A5E21"/>
    <w:rsid w:val="007B0903"/>
    <w:rsid w:val="007B741B"/>
    <w:rsid w:val="007C18CE"/>
    <w:rsid w:val="007D27F7"/>
    <w:rsid w:val="007E04E1"/>
    <w:rsid w:val="007E35FA"/>
    <w:rsid w:val="00807388"/>
    <w:rsid w:val="0081065C"/>
    <w:rsid w:val="00816BCC"/>
    <w:rsid w:val="00826491"/>
    <w:rsid w:val="008357B5"/>
    <w:rsid w:val="0083757B"/>
    <w:rsid w:val="00855336"/>
    <w:rsid w:val="00865A68"/>
    <w:rsid w:val="00870CC2"/>
    <w:rsid w:val="00873099"/>
    <w:rsid w:val="00877C72"/>
    <w:rsid w:val="008814D4"/>
    <w:rsid w:val="00883A16"/>
    <w:rsid w:val="008854FB"/>
    <w:rsid w:val="008940B2"/>
    <w:rsid w:val="008A57DA"/>
    <w:rsid w:val="008B3933"/>
    <w:rsid w:val="008B57CC"/>
    <w:rsid w:val="008D132E"/>
    <w:rsid w:val="008D5726"/>
    <w:rsid w:val="008E17D5"/>
    <w:rsid w:val="008E5E2E"/>
    <w:rsid w:val="008F1142"/>
    <w:rsid w:val="008F3311"/>
    <w:rsid w:val="008F64DA"/>
    <w:rsid w:val="009032F8"/>
    <w:rsid w:val="009050BA"/>
    <w:rsid w:val="00906C8E"/>
    <w:rsid w:val="009146D8"/>
    <w:rsid w:val="00915E38"/>
    <w:rsid w:val="009171B3"/>
    <w:rsid w:val="00917AD6"/>
    <w:rsid w:val="00921869"/>
    <w:rsid w:val="00931634"/>
    <w:rsid w:val="0093727A"/>
    <w:rsid w:val="00937A80"/>
    <w:rsid w:val="00957A43"/>
    <w:rsid w:val="0096350F"/>
    <w:rsid w:val="00965029"/>
    <w:rsid w:val="0096580A"/>
    <w:rsid w:val="00967F68"/>
    <w:rsid w:val="00975102"/>
    <w:rsid w:val="00980C88"/>
    <w:rsid w:val="00981F58"/>
    <w:rsid w:val="0098748C"/>
    <w:rsid w:val="00996802"/>
    <w:rsid w:val="009B4092"/>
    <w:rsid w:val="009D1CBA"/>
    <w:rsid w:val="009D6D70"/>
    <w:rsid w:val="009F202C"/>
    <w:rsid w:val="009F3D78"/>
    <w:rsid w:val="009F508E"/>
    <w:rsid w:val="00A02E57"/>
    <w:rsid w:val="00A33802"/>
    <w:rsid w:val="00A4211B"/>
    <w:rsid w:val="00A9001C"/>
    <w:rsid w:val="00AB3A6C"/>
    <w:rsid w:val="00AD0215"/>
    <w:rsid w:val="00AF6684"/>
    <w:rsid w:val="00AF7F30"/>
    <w:rsid w:val="00B02604"/>
    <w:rsid w:val="00B10C04"/>
    <w:rsid w:val="00B16B55"/>
    <w:rsid w:val="00B20928"/>
    <w:rsid w:val="00B35CD3"/>
    <w:rsid w:val="00B3711E"/>
    <w:rsid w:val="00B51F9E"/>
    <w:rsid w:val="00B530D7"/>
    <w:rsid w:val="00B56E40"/>
    <w:rsid w:val="00B86D88"/>
    <w:rsid w:val="00BA0CAC"/>
    <w:rsid w:val="00BA178B"/>
    <w:rsid w:val="00BA2CCB"/>
    <w:rsid w:val="00BA4FD0"/>
    <w:rsid w:val="00BC0ECD"/>
    <w:rsid w:val="00BE16A2"/>
    <w:rsid w:val="00BE2894"/>
    <w:rsid w:val="00BE5463"/>
    <w:rsid w:val="00BF1CDF"/>
    <w:rsid w:val="00C02A79"/>
    <w:rsid w:val="00C14445"/>
    <w:rsid w:val="00C43A4C"/>
    <w:rsid w:val="00C54634"/>
    <w:rsid w:val="00C56A86"/>
    <w:rsid w:val="00C60C74"/>
    <w:rsid w:val="00C6569D"/>
    <w:rsid w:val="00C65CD4"/>
    <w:rsid w:val="00C67F4A"/>
    <w:rsid w:val="00C76FB5"/>
    <w:rsid w:val="00C84765"/>
    <w:rsid w:val="00C848C7"/>
    <w:rsid w:val="00C91C5D"/>
    <w:rsid w:val="00C92692"/>
    <w:rsid w:val="00CA511D"/>
    <w:rsid w:val="00CC2ED6"/>
    <w:rsid w:val="00CC4294"/>
    <w:rsid w:val="00CD14CD"/>
    <w:rsid w:val="00CE1259"/>
    <w:rsid w:val="00CF10CD"/>
    <w:rsid w:val="00D00328"/>
    <w:rsid w:val="00D0193C"/>
    <w:rsid w:val="00D06A10"/>
    <w:rsid w:val="00D10463"/>
    <w:rsid w:val="00D16814"/>
    <w:rsid w:val="00D322CA"/>
    <w:rsid w:val="00D34772"/>
    <w:rsid w:val="00D35DBA"/>
    <w:rsid w:val="00D3738E"/>
    <w:rsid w:val="00D44E3E"/>
    <w:rsid w:val="00D47271"/>
    <w:rsid w:val="00D47E14"/>
    <w:rsid w:val="00D80290"/>
    <w:rsid w:val="00D806E2"/>
    <w:rsid w:val="00D92DDA"/>
    <w:rsid w:val="00D95BB6"/>
    <w:rsid w:val="00DA1CFC"/>
    <w:rsid w:val="00DB53C8"/>
    <w:rsid w:val="00DC7AB1"/>
    <w:rsid w:val="00DD4F79"/>
    <w:rsid w:val="00DE2C7E"/>
    <w:rsid w:val="00DF0709"/>
    <w:rsid w:val="00E13583"/>
    <w:rsid w:val="00E15716"/>
    <w:rsid w:val="00E16332"/>
    <w:rsid w:val="00E2591A"/>
    <w:rsid w:val="00E552DD"/>
    <w:rsid w:val="00E62AA2"/>
    <w:rsid w:val="00E6605A"/>
    <w:rsid w:val="00E66C0E"/>
    <w:rsid w:val="00E7112E"/>
    <w:rsid w:val="00E72176"/>
    <w:rsid w:val="00E75587"/>
    <w:rsid w:val="00E809F6"/>
    <w:rsid w:val="00EA19D4"/>
    <w:rsid w:val="00EA210B"/>
    <w:rsid w:val="00EA7DED"/>
    <w:rsid w:val="00EB03F9"/>
    <w:rsid w:val="00EB3989"/>
    <w:rsid w:val="00EB6F27"/>
    <w:rsid w:val="00EC3504"/>
    <w:rsid w:val="00ED10B8"/>
    <w:rsid w:val="00EE140A"/>
    <w:rsid w:val="00EE3368"/>
    <w:rsid w:val="00EF41B7"/>
    <w:rsid w:val="00EF7EA6"/>
    <w:rsid w:val="00F003EC"/>
    <w:rsid w:val="00F16934"/>
    <w:rsid w:val="00F3698A"/>
    <w:rsid w:val="00F50581"/>
    <w:rsid w:val="00F50F2E"/>
    <w:rsid w:val="00F743CF"/>
    <w:rsid w:val="00F97746"/>
    <w:rsid w:val="00FB2DE6"/>
    <w:rsid w:val="00FC2C6B"/>
    <w:rsid w:val="00FC6522"/>
    <w:rsid w:val="00FD20D9"/>
    <w:rsid w:val="00FD7D3A"/>
    <w:rsid w:val="00FF2210"/>
    <w:rsid w:val="00FF2A6F"/>
    <w:rsid w:val="00FF6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D47E14"/>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D47E14"/>
  </w:style>
  <w:style w:type="character" w:customStyle="1" w:styleId="FontStyle23">
    <w:name w:val="Font Style23"/>
    <w:rsid w:val="00BE2894"/>
    <w:rPr>
      <w:rFonts w:ascii="Times New Roman" w:hAnsi="Times New Roman" w:cs="Times New Roman"/>
      <w:spacing w:val="10"/>
      <w:sz w:val="20"/>
      <w:szCs w:val="20"/>
    </w:rPr>
  </w:style>
  <w:style w:type="character" w:styleId="FootnoteReference">
    <w:name w:val="footnote reference"/>
    <w:basedOn w:val="DefaultParagraphFont"/>
    <w:uiPriority w:val="99"/>
    <w:semiHidden/>
    <w:unhideWhenUsed/>
    <w:rsid w:val="00542A84"/>
    <w:rPr>
      <w:vertAlign w:val="superscript"/>
    </w:rPr>
  </w:style>
  <w:style w:type="character" w:customStyle="1" w:styleId="Laukeliai">
    <w:name w:val="Laukeliai"/>
    <w:basedOn w:val="DefaultParagraphFont"/>
    <w:uiPriority w:val="1"/>
    <w:rsid w:val="00FB2DE6"/>
    <w:rPr>
      <w:rFonts w:ascii="Arial" w:hAnsi="Arial"/>
      <w:sz w:val="20"/>
    </w:rPr>
  </w:style>
  <w:style w:type="paragraph" w:styleId="FootnoteText">
    <w:name w:val="footnote text"/>
    <w:basedOn w:val="Normal"/>
    <w:link w:val="FootnoteTextChar"/>
    <w:unhideWhenUsed/>
    <w:rsid w:val="00EE3368"/>
    <w:pPr>
      <w:ind w:firstLine="357"/>
    </w:pPr>
    <w:rPr>
      <w:rFonts w:ascii="Arial" w:eastAsiaTheme="minorHAnsi" w:hAnsi="Arial" w:cstheme="minorBidi"/>
      <w:color w:val="auto"/>
      <w:sz w:val="20"/>
      <w:szCs w:val="20"/>
      <w:lang w:eastAsia="en-US"/>
    </w:rPr>
  </w:style>
  <w:style w:type="character" w:customStyle="1" w:styleId="FootnoteTextChar">
    <w:name w:val="Footnote Text Char"/>
    <w:basedOn w:val="DefaultParagraphFont"/>
    <w:link w:val="FootnoteText"/>
    <w:rsid w:val="00EE3368"/>
    <w:rPr>
      <w:rFonts w:ascii="Arial" w:hAnsi="Arial"/>
      <w:sz w:val="20"/>
      <w:szCs w:val="20"/>
    </w:rPr>
  </w:style>
  <w:style w:type="paragraph" w:styleId="Revision">
    <w:name w:val="Revision"/>
    <w:hidden/>
    <w:uiPriority w:val="99"/>
    <w:semiHidden/>
    <w:rsid w:val="00EB3989"/>
    <w:pPr>
      <w:spacing w:after="0" w:line="240" w:lineRule="auto"/>
    </w:pPr>
    <w:rPr>
      <w:rFonts w:ascii="Arial Unicode MS" w:eastAsia="Arial Unicode MS" w:hAnsi="Arial Unicode MS" w:cs="Arial Unicode MS"/>
      <w:color w:val="000000"/>
      <w:sz w:val="24"/>
      <w:szCs w:val="24"/>
      <w:lang w:eastAsia="lt-LT"/>
    </w:rPr>
  </w:style>
  <w:style w:type="paragraph" w:customStyle="1" w:styleId="CentrBoldm">
    <w:name w:val="CentrBoldm"/>
    <w:basedOn w:val="Normal"/>
    <w:rsid w:val="00601C55"/>
    <w:pPr>
      <w:autoSpaceDE w:val="0"/>
      <w:autoSpaceDN w:val="0"/>
      <w:adjustRightInd w:val="0"/>
      <w:jc w:val="center"/>
    </w:pPr>
    <w:rPr>
      <w:rFonts w:ascii="TimesLT" w:eastAsia="Times New Roman" w:hAnsi="TimesLT" w:cs="Times New Roman"/>
      <w:b/>
      <w:bCs/>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79250">
      <w:bodyDiv w:val="1"/>
      <w:marLeft w:val="0"/>
      <w:marRight w:val="0"/>
      <w:marTop w:val="0"/>
      <w:marBottom w:val="0"/>
      <w:divBdr>
        <w:top w:val="none" w:sz="0" w:space="0" w:color="auto"/>
        <w:left w:val="none" w:sz="0" w:space="0" w:color="auto"/>
        <w:bottom w:val="none" w:sz="0" w:space="0" w:color="auto"/>
        <w:right w:val="none" w:sz="0" w:space="0" w:color="auto"/>
      </w:divBdr>
    </w:div>
    <w:div w:id="16904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794A401A111474BACD9CF5020838613" ma:contentTypeVersion="12" ma:contentTypeDescription="Kurkite naują dokumentą." ma:contentTypeScope="" ma:versionID="cd4218e2ade65522775c3b54d1ffa38b">
  <xsd:schema xmlns:xsd="http://www.w3.org/2001/XMLSchema" xmlns:xs="http://www.w3.org/2001/XMLSchema" xmlns:p="http://schemas.microsoft.com/office/2006/metadata/properties" xmlns:ns3="2deb9b61-7bb6-468d-ad46-3a9b38ff3c67" xmlns:ns4="dc07d7fd-796c-402e-a428-0c79dcc9f60b" targetNamespace="http://schemas.microsoft.com/office/2006/metadata/properties" ma:root="true" ma:fieldsID="d2d12b883fb1f13aae994c82a3bbc963" ns3:_="" ns4:_="">
    <xsd:import namespace="2deb9b61-7bb6-468d-ad46-3a9b38ff3c67"/>
    <xsd:import namespace="dc07d7fd-796c-402e-a428-0c79dcc9f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b9b61-7bb6-468d-ad46-3a9b38ff3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7d7fd-796c-402e-a428-0c79dcc9f60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FB2C11DA-C304-475B-AC71-141DE5E23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b9b61-7bb6-468d-ad46-3a9b38ff3c67"/>
    <ds:schemaRef ds:uri="dc07d7fd-796c-402e-a428-0c79dcc9f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E0328E-BB42-4D4D-9922-5C3B177B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3</Pages>
  <Words>5003</Words>
  <Characters>2852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Božena ROKIENĖ</cp:lastModifiedBy>
  <cp:revision>111</cp:revision>
  <dcterms:created xsi:type="dcterms:W3CDTF">2020-04-20T16:23:00Z</dcterms:created>
  <dcterms:modified xsi:type="dcterms:W3CDTF">2020-06-12T08:13:00Z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0x0101004794A401A111474BACD9CF5020838613</vt:lpwstr>
  </property>
</Properties>
</file>