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B3593" w14:textId="27B30046" w:rsidR="0047306C" w:rsidRPr="00AB2241" w:rsidRDefault="0047306C" w:rsidP="0047306C">
      <w:pPr>
        <w:jc w:val="right"/>
        <w:rPr>
          <w:rFonts w:cstheme="minorHAnsi"/>
        </w:rPr>
      </w:pPr>
      <w:r w:rsidRPr="00AB2241">
        <w:rPr>
          <w:rFonts w:cstheme="minorHAnsi"/>
        </w:rPr>
        <w:t xml:space="preserve">       </w:t>
      </w:r>
      <w:r w:rsidR="00212656">
        <w:rPr>
          <w:rFonts w:cstheme="minorHAnsi"/>
        </w:rPr>
        <w:t>2</w:t>
      </w:r>
      <w:r w:rsidRPr="00AB2241">
        <w:rPr>
          <w:rFonts w:cstheme="minorHAnsi"/>
        </w:rPr>
        <w:t xml:space="preserve"> priedas</w:t>
      </w:r>
    </w:p>
    <w:p w14:paraId="03A34191" w14:textId="77777777" w:rsidR="0047306C" w:rsidRPr="00AB2241" w:rsidRDefault="0047306C" w:rsidP="002B77ED">
      <w:pPr>
        <w:spacing w:after="0"/>
        <w:jc w:val="center"/>
        <w:rPr>
          <w:rFonts w:cstheme="minorHAnsi"/>
          <w:b/>
        </w:rPr>
      </w:pPr>
      <w:r w:rsidRPr="00AB2241">
        <w:rPr>
          <w:rFonts w:cstheme="minorHAnsi"/>
          <w:b/>
        </w:rPr>
        <w:t xml:space="preserve">PRIEMONIŲ, KURIAS RANGOVAS PRIVALO </w:t>
      </w:r>
      <w:r w:rsidR="0034005F" w:rsidRPr="00AB2241">
        <w:rPr>
          <w:rFonts w:cstheme="minorHAnsi"/>
          <w:b/>
        </w:rPr>
        <w:t xml:space="preserve">UŽTIKRINTI </w:t>
      </w:r>
      <w:r w:rsidRPr="00AB2241">
        <w:rPr>
          <w:rFonts w:cstheme="minorHAnsi"/>
          <w:b/>
        </w:rPr>
        <w:t>PRIEŠ GAUNANT</w:t>
      </w:r>
    </w:p>
    <w:p w14:paraId="29170024" w14:textId="77777777" w:rsidR="0047306C" w:rsidRPr="00AB2241" w:rsidRDefault="0047306C" w:rsidP="002B77ED">
      <w:pPr>
        <w:spacing w:after="0"/>
        <w:jc w:val="center"/>
        <w:rPr>
          <w:rFonts w:cstheme="minorHAnsi"/>
          <w:b/>
        </w:rPr>
      </w:pPr>
      <w:r w:rsidRPr="00AB2241">
        <w:rPr>
          <w:rFonts w:cstheme="minorHAnsi"/>
          <w:b/>
        </w:rPr>
        <w:t>AKTĄ-LEIDIMĄ,</w:t>
      </w:r>
    </w:p>
    <w:p w14:paraId="726D1BD9" w14:textId="77777777" w:rsidR="0047306C" w:rsidRPr="00AB2241" w:rsidRDefault="0047306C" w:rsidP="002B77ED">
      <w:pPr>
        <w:spacing w:after="0"/>
        <w:jc w:val="center"/>
        <w:rPr>
          <w:rFonts w:cstheme="minorHAnsi"/>
          <w:b/>
        </w:rPr>
      </w:pPr>
      <w:r w:rsidRPr="00AB2241">
        <w:rPr>
          <w:rFonts w:cstheme="minorHAnsi"/>
          <w:b/>
        </w:rPr>
        <w:t>SĄRAŠAS</w:t>
      </w:r>
    </w:p>
    <w:p w14:paraId="5ED24B91" w14:textId="77777777" w:rsidR="0047306C" w:rsidRPr="0047306C" w:rsidRDefault="0047306C" w:rsidP="0047306C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9330"/>
      </w:tblGrid>
      <w:tr w:rsidR="0047306C" w:rsidRPr="00AB2241" w14:paraId="193854A6" w14:textId="77777777" w:rsidTr="00AB2241">
        <w:trPr>
          <w:tblHeader/>
        </w:trPr>
        <w:tc>
          <w:tcPr>
            <w:tcW w:w="317" w:type="pct"/>
            <w:vAlign w:val="center"/>
          </w:tcPr>
          <w:p w14:paraId="44A9DDB5" w14:textId="77777777" w:rsidR="0047306C" w:rsidRPr="00AB2241" w:rsidRDefault="0047306C" w:rsidP="00AB2241">
            <w:pPr>
              <w:spacing w:after="0" w:line="240" w:lineRule="auto"/>
              <w:jc w:val="center"/>
              <w:rPr>
                <w:rFonts w:cstheme="minorHAnsi"/>
              </w:rPr>
            </w:pPr>
            <w:r w:rsidRPr="00AB2241">
              <w:rPr>
                <w:rFonts w:cstheme="minorHAnsi"/>
              </w:rPr>
              <w:t>Eil. Nr.</w:t>
            </w:r>
          </w:p>
        </w:tc>
        <w:tc>
          <w:tcPr>
            <w:tcW w:w="4683" w:type="pct"/>
            <w:vAlign w:val="center"/>
          </w:tcPr>
          <w:p w14:paraId="43AB2F09" w14:textId="77777777" w:rsidR="0047306C" w:rsidRPr="00AB2241" w:rsidRDefault="0047306C" w:rsidP="00AB2241">
            <w:pPr>
              <w:spacing w:after="0" w:line="240" w:lineRule="auto"/>
              <w:jc w:val="center"/>
              <w:rPr>
                <w:rFonts w:cstheme="minorHAnsi"/>
              </w:rPr>
            </w:pPr>
            <w:r w:rsidRPr="00AB2241">
              <w:rPr>
                <w:rFonts w:cstheme="minorHAnsi"/>
              </w:rPr>
              <w:t>Priemonės pavadinimas</w:t>
            </w:r>
          </w:p>
        </w:tc>
      </w:tr>
      <w:tr w:rsidR="0047306C" w:rsidRPr="00AB2241" w14:paraId="63F5417B" w14:textId="77777777" w:rsidTr="00AB2241">
        <w:trPr>
          <w:trHeight w:val="643"/>
        </w:trPr>
        <w:tc>
          <w:tcPr>
            <w:tcW w:w="317" w:type="pct"/>
            <w:vAlign w:val="center"/>
          </w:tcPr>
          <w:p w14:paraId="211418C2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1.</w:t>
            </w:r>
          </w:p>
        </w:tc>
        <w:tc>
          <w:tcPr>
            <w:tcW w:w="4683" w:type="pct"/>
            <w:vAlign w:val="center"/>
          </w:tcPr>
          <w:p w14:paraId="1B0683A6" w14:textId="77777777" w:rsidR="00E8528E" w:rsidRPr="00AB2241" w:rsidRDefault="00360ABE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>Pateikti Užsakovui informaciją apie projekto vykdyme dalyvaujančius subrangovus ir paskirtą saugos ir sveikatos darbe koordinatorių</w:t>
            </w:r>
            <w:r w:rsidR="00697E91" w:rsidRPr="00AB2241">
              <w:rPr>
                <w:rFonts w:cstheme="minorHAnsi"/>
              </w:rPr>
              <w:t xml:space="preserve"> vadovaujantis LR Socialinės apsaugos ir darbo ministro ir LR aplinkos ministro 2008 m. sausio 15 d. įsakymu Nr. AI-22/DI-34</w:t>
            </w:r>
            <w:r w:rsidR="0075474C" w:rsidRPr="00AB2241">
              <w:rPr>
                <w:rFonts w:cstheme="minorHAnsi"/>
              </w:rPr>
              <w:t xml:space="preserve"> </w:t>
            </w:r>
            <w:r w:rsidR="00697E91" w:rsidRPr="00AB2241">
              <w:rPr>
                <w:rFonts w:cstheme="minorHAnsi"/>
              </w:rPr>
              <w:t>patvirtintu „Darboviečių įrengimo statybvietėse nuostatų“ reikalavimais.</w:t>
            </w:r>
          </w:p>
        </w:tc>
      </w:tr>
      <w:tr w:rsidR="0047306C" w:rsidRPr="00AB2241" w14:paraId="5D8E3EF1" w14:textId="77777777" w:rsidTr="00AB2241">
        <w:trPr>
          <w:trHeight w:val="70"/>
        </w:trPr>
        <w:tc>
          <w:tcPr>
            <w:tcW w:w="317" w:type="pct"/>
            <w:vAlign w:val="center"/>
          </w:tcPr>
          <w:p w14:paraId="52DE0524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2.</w:t>
            </w:r>
          </w:p>
        </w:tc>
        <w:tc>
          <w:tcPr>
            <w:tcW w:w="4683" w:type="pct"/>
            <w:vAlign w:val="center"/>
          </w:tcPr>
          <w:p w14:paraId="2A7820C7" w14:textId="77777777" w:rsidR="0047306C" w:rsidRPr="00AB2241" w:rsidRDefault="0047306C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 xml:space="preserve">Pateikti darbuotojų, dirbsiančių geležinkelio apsaugos zonoje, sąrašus su </w:t>
            </w:r>
            <w:r w:rsidR="00075821" w:rsidRPr="00AB2241">
              <w:rPr>
                <w:rFonts w:cstheme="minorHAnsi"/>
              </w:rPr>
              <w:t xml:space="preserve">Lietuvos transporto saugos administracijos </w:t>
            </w:r>
            <w:r w:rsidRPr="00AB2241">
              <w:rPr>
                <w:rFonts w:cstheme="minorHAnsi"/>
              </w:rPr>
              <w:t xml:space="preserve">ar egzaminavimų centrų išduotų pažymėjimų numeriais, patvirtinančiais, kad darbuotojai yra pasirengę dirbti darbus, susijusius su geležinkelio transporto eismu. </w:t>
            </w:r>
          </w:p>
        </w:tc>
      </w:tr>
      <w:tr w:rsidR="0047306C" w:rsidRPr="00AB2241" w14:paraId="68FE2493" w14:textId="77777777" w:rsidTr="00AB2241">
        <w:trPr>
          <w:trHeight w:val="70"/>
        </w:trPr>
        <w:tc>
          <w:tcPr>
            <w:tcW w:w="317" w:type="pct"/>
            <w:vAlign w:val="center"/>
          </w:tcPr>
          <w:p w14:paraId="35119CC9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3.</w:t>
            </w:r>
          </w:p>
        </w:tc>
        <w:tc>
          <w:tcPr>
            <w:tcW w:w="4683" w:type="pct"/>
            <w:vAlign w:val="center"/>
          </w:tcPr>
          <w:p w14:paraId="7FB8A0CF" w14:textId="77777777" w:rsidR="00760B05" w:rsidRPr="00AB2241" w:rsidRDefault="00760B05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>Pateikti dokumentus, patvirtinan</w:t>
            </w:r>
            <w:r w:rsidR="008A5C1B" w:rsidRPr="00AB2241">
              <w:rPr>
                <w:rFonts w:cstheme="minorHAnsi"/>
              </w:rPr>
              <w:t>č</w:t>
            </w:r>
            <w:r w:rsidRPr="00AB2241">
              <w:rPr>
                <w:rFonts w:cstheme="minorHAnsi"/>
              </w:rPr>
              <w:t>ius, kad Rangovo darbuotojai apmokyti saug</w:t>
            </w:r>
            <w:r w:rsidR="009C465F" w:rsidRPr="00AB2241">
              <w:rPr>
                <w:rFonts w:cstheme="minorHAnsi"/>
              </w:rPr>
              <w:t>i</w:t>
            </w:r>
            <w:r w:rsidRPr="00AB2241">
              <w:rPr>
                <w:rFonts w:cstheme="minorHAnsi"/>
              </w:rPr>
              <w:t>a</w:t>
            </w:r>
            <w:r w:rsidR="009C465F" w:rsidRPr="00AB2241">
              <w:rPr>
                <w:rFonts w:cstheme="minorHAnsi"/>
              </w:rPr>
              <w:t>i</w:t>
            </w:r>
            <w:r w:rsidRPr="00AB2241">
              <w:rPr>
                <w:rFonts w:cstheme="minorHAnsi"/>
              </w:rPr>
              <w:t xml:space="preserve"> elg</w:t>
            </w:r>
            <w:r w:rsidR="009C465F" w:rsidRPr="00AB2241">
              <w:rPr>
                <w:rFonts w:cstheme="minorHAnsi"/>
              </w:rPr>
              <w:t>tis</w:t>
            </w:r>
            <w:r w:rsidRPr="00AB2241">
              <w:rPr>
                <w:rFonts w:cstheme="minorHAnsi"/>
              </w:rPr>
              <w:t xml:space="preserve"> geležinkelių apsaugos zonoje.</w:t>
            </w:r>
          </w:p>
        </w:tc>
      </w:tr>
      <w:tr w:rsidR="0047306C" w:rsidRPr="00AB2241" w14:paraId="73F9FC87" w14:textId="77777777" w:rsidTr="00AB2241">
        <w:trPr>
          <w:trHeight w:val="70"/>
        </w:trPr>
        <w:tc>
          <w:tcPr>
            <w:tcW w:w="317" w:type="pct"/>
            <w:vAlign w:val="center"/>
          </w:tcPr>
          <w:p w14:paraId="78CE1382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4.</w:t>
            </w:r>
          </w:p>
        </w:tc>
        <w:tc>
          <w:tcPr>
            <w:tcW w:w="4683" w:type="pct"/>
            <w:vAlign w:val="center"/>
          </w:tcPr>
          <w:p w14:paraId="14CF68F3" w14:textId="77777777" w:rsidR="0047306C" w:rsidRPr="00AB2241" w:rsidRDefault="0047306C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>Pateikti signalinink</w:t>
            </w:r>
            <w:r w:rsidR="00B00B17" w:rsidRPr="00AB2241">
              <w:rPr>
                <w:rFonts w:cstheme="minorHAnsi"/>
              </w:rPr>
              <w:t>ų</w:t>
            </w:r>
            <w:r w:rsidRPr="00AB2241">
              <w:rPr>
                <w:rFonts w:cstheme="minorHAnsi"/>
              </w:rPr>
              <w:t>, dirbsiančių objekte, sąrašą su signalininko pažymėjimų numeriais.</w:t>
            </w:r>
          </w:p>
        </w:tc>
      </w:tr>
      <w:tr w:rsidR="0047306C" w:rsidRPr="00AB2241" w14:paraId="2A457DC1" w14:textId="77777777" w:rsidTr="00AB2241">
        <w:trPr>
          <w:trHeight w:val="70"/>
        </w:trPr>
        <w:tc>
          <w:tcPr>
            <w:tcW w:w="317" w:type="pct"/>
            <w:vAlign w:val="center"/>
          </w:tcPr>
          <w:p w14:paraId="5859C778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5.</w:t>
            </w:r>
          </w:p>
        </w:tc>
        <w:tc>
          <w:tcPr>
            <w:tcW w:w="4683" w:type="pct"/>
            <w:vAlign w:val="center"/>
          </w:tcPr>
          <w:p w14:paraId="07462D53" w14:textId="77777777" w:rsidR="0047306C" w:rsidRPr="00AB2241" w:rsidRDefault="0047306C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>Pateikti suderintą su Užsakovu darbų vykdymo planą – grafiką.</w:t>
            </w:r>
          </w:p>
        </w:tc>
      </w:tr>
      <w:tr w:rsidR="0047306C" w:rsidRPr="00AB2241" w14:paraId="691225C9" w14:textId="77777777" w:rsidTr="00AB2241">
        <w:trPr>
          <w:trHeight w:val="70"/>
        </w:trPr>
        <w:tc>
          <w:tcPr>
            <w:tcW w:w="317" w:type="pct"/>
            <w:vAlign w:val="center"/>
          </w:tcPr>
          <w:p w14:paraId="46F61C38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6.</w:t>
            </w:r>
          </w:p>
        </w:tc>
        <w:tc>
          <w:tcPr>
            <w:tcW w:w="4683" w:type="pct"/>
            <w:vAlign w:val="center"/>
          </w:tcPr>
          <w:p w14:paraId="6AA578A4" w14:textId="77777777" w:rsidR="0047306C" w:rsidRPr="00AB2241" w:rsidRDefault="0047306C" w:rsidP="00AB2241">
            <w:pPr>
              <w:spacing w:after="0" w:line="240" w:lineRule="auto"/>
              <w:jc w:val="both"/>
              <w:rPr>
                <w:rFonts w:cstheme="minorHAnsi"/>
                <w:color w:val="FF0000"/>
              </w:rPr>
            </w:pPr>
            <w:r w:rsidRPr="00AB2241">
              <w:rPr>
                <w:rFonts w:cstheme="minorHAnsi"/>
              </w:rPr>
              <w:t xml:space="preserve">Pateikti suderintą su Užsakovu </w:t>
            </w:r>
            <w:r w:rsidR="009C465F" w:rsidRPr="00AB2241">
              <w:rPr>
                <w:rFonts w:cstheme="minorHAnsi"/>
              </w:rPr>
              <w:t>darbo</w:t>
            </w:r>
            <w:r w:rsidR="00E8528E" w:rsidRPr="00AB2241">
              <w:rPr>
                <w:rFonts w:cstheme="minorHAnsi"/>
              </w:rPr>
              <w:t xml:space="preserve"> </w:t>
            </w:r>
            <w:r w:rsidR="00973DAA" w:rsidRPr="00AB2241">
              <w:rPr>
                <w:rFonts w:cstheme="minorHAnsi"/>
                <w:color w:val="000000" w:themeColor="text1"/>
              </w:rPr>
              <w:t>projektą</w:t>
            </w:r>
            <w:r w:rsidR="002B77ED" w:rsidRPr="00AB2241">
              <w:rPr>
                <w:rFonts w:cstheme="minorHAnsi"/>
                <w:color w:val="000000" w:themeColor="text1"/>
              </w:rPr>
              <w:t xml:space="preserve"> (</w:t>
            </w:r>
            <w:r w:rsidR="00D2597B" w:rsidRPr="00AB2241">
              <w:rPr>
                <w:rFonts w:cstheme="minorHAnsi"/>
                <w:color w:val="000000" w:themeColor="text1"/>
              </w:rPr>
              <w:t>jeigu toks numatytas</w:t>
            </w:r>
            <w:r w:rsidR="002B77ED" w:rsidRPr="00AB2241">
              <w:rPr>
                <w:rFonts w:cstheme="minorHAnsi"/>
                <w:color w:val="000000" w:themeColor="text1"/>
              </w:rPr>
              <w:t>)</w:t>
            </w:r>
            <w:r w:rsidR="00973DAA" w:rsidRPr="00AB2241">
              <w:rPr>
                <w:rFonts w:cstheme="minorHAnsi"/>
                <w:color w:val="000000" w:themeColor="text1"/>
              </w:rPr>
              <w:t>.</w:t>
            </w:r>
          </w:p>
        </w:tc>
      </w:tr>
      <w:tr w:rsidR="0047306C" w:rsidRPr="00AB2241" w14:paraId="03BB465D" w14:textId="77777777" w:rsidTr="00AB2241">
        <w:trPr>
          <w:trHeight w:val="70"/>
        </w:trPr>
        <w:tc>
          <w:tcPr>
            <w:tcW w:w="317" w:type="pct"/>
            <w:vAlign w:val="center"/>
          </w:tcPr>
          <w:p w14:paraId="784073AC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7.</w:t>
            </w:r>
          </w:p>
        </w:tc>
        <w:tc>
          <w:tcPr>
            <w:tcW w:w="4683" w:type="pct"/>
            <w:vAlign w:val="center"/>
          </w:tcPr>
          <w:p w14:paraId="5BA27DA7" w14:textId="77777777" w:rsidR="00760B05" w:rsidRPr="00AB2241" w:rsidRDefault="00D810C2" w:rsidP="00AB2241">
            <w:pPr>
              <w:pStyle w:val="Preformatted"/>
              <w:tabs>
                <w:tab w:val="clear" w:pos="959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Gauti iš Užsakovo informaciją apie </w:t>
            </w:r>
            <w:r w:rsidR="00E34C83" w:rsidRPr="00AB2241">
              <w:rPr>
                <w:rFonts w:asciiTheme="minorHAnsi" w:hAnsiTheme="minorHAnsi" w:cstheme="minorHAnsi"/>
                <w:sz w:val="22"/>
                <w:szCs w:val="22"/>
              </w:rPr>
              <w:t>galimus pavojus</w:t>
            </w:r>
            <w:r w:rsidR="00697E91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 ir</w:t>
            </w:r>
            <w:r w:rsidR="00E34C83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 rizikos veiksnius</w:t>
            </w:r>
            <w:r w:rsidR="002B77ED" w:rsidRPr="00AB2241">
              <w:rPr>
                <w:rFonts w:asciiTheme="minorHAnsi" w:hAnsiTheme="minorHAnsi" w:cstheme="minorHAnsi"/>
                <w:sz w:val="22"/>
                <w:szCs w:val="22"/>
              </w:rPr>
              <w:t>, vykdant darbus objekte</w:t>
            </w:r>
            <w:r w:rsidR="00E34C83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A1892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pvz., </w:t>
            </w:r>
            <w:r w:rsidR="002B77ED" w:rsidRPr="00AB2241">
              <w:rPr>
                <w:rFonts w:asciiTheme="minorHAnsi" w:hAnsiTheme="minorHAnsi" w:cstheme="minorHAnsi"/>
                <w:sz w:val="22"/>
                <w:szCs w:val="22"/>
              </w:rPr>
              <w:t>pagal</w:t>
            </w:r>
            <w:r w:rsidR="00E34C83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 pateikt</w:t>
            </w:r>
            <w:r w:rsidR="002B77ED" w:rsidRPr="00AB2241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E34C83" w:rsidRPr="00AB2241">
              <w:rPr>
                <w:rFonts w:asciiTheme="minorHAnsi" w:hAnsiTheme="minorHAnsi" w:cstheme="minorHAnsi"/>
                <w:sz w:val="22"/>
                <w:szCs w:val="22"/>
              </w:rPr>
              <w:t xml:space="preserve"> saugos ir sveikatos instrukciją, </w:t>
            </w:r>
            <w:r w:rsidR="002B77ED" w:rsidRPr="00AB2241">
              <w:rPr>
                <w:rFonts w:asciiTheme="minorHAnsi" w:hAnsiTheme="minorHAnsi" w:cstheme="minorHAnsi"/>
                <w:sz w:val="22"/>
                <w:szCs w:val="22"/>
              </w:rPr>
              <w:t>mokomąją medžiagą ir pan.).</w:t>
            </w:r>
          </w:p>
        </w:tc>
      </w:tr>
      <w:tr w:rsidR="0047306C" w:rsidRPr="00AB2241" w14:paraId="5DE4129F" w14:textId="77777777" w:rsidTr="00AB2241">
        <w:trPr>
          <w:trHeight w:val="70"/>
        </w:trPr>
        <w:tc>
          <w:tcPr>
            <w:tcW w:w="317" w:type="pct"/>
            <w:vAlign w:val="center"/>
          </w:tcPr>
          <w:p w14:paraId="42871755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8.</w:t>
            </w:r>
          </w:p>
        </w:tc>
        <w:tc>
          <w:tcPr>
            <w:tcW w:w="4683" w:type="pct"/>
            <w:vAlign w:val="center"/>
          </w:tcPr>
          <w:p w14:paraId="5396DE89" w14:textId="77777777" w:rsidR="0047306C" w:rsidRPr="00AB2241" w:rsidRDefault="0047306C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 xml:space="preserve">Instruktuoti visus objekte dirbsiančius rangovo ir (ar) subrangovo darbuotojus </w:t>
            </w:r>
            <w:r w:rsidR="00D810C2" w:rsidRPr="00AB2241">
              <w:rPr>
                <w:rFonts w:cstheme="minorHAnsi"/>
              </w:rPr>
              <w:t xml:space="preserve"> vadovaujantis LR Vyriausiojo valstybinio darbo inspektoriaus 2012 m. rugpjūčio 10 d. įsakymu Nr. V-240 „Darbuotojų saugos ir</w:t>
            </w:r>
            <w:r w:rsidR="007A1892" w:rsidRPr="00AB2241">
              <w:rPr>
                <w:rFonts w:cstheme="minorHAnsi"/>
              </w:rPr>
              <w:t xml:space="preserve"> sveikatos instrukcijų rengimo i</w:t>
            </w:r>
            <w:r w:rsidR="00D810C2" w:rsidRPr="00AB2241">
              <w:rPr>
                <w:rFonts w:cstheme="minorHAnsi"/>
              </w:rPr>
              <w:t>r darbuotojų, darbdavių susitarimu pasiųstų laikinam darbui į įmonę iš kitos įmonės, instruktavimo tvarkos aprašo“</w:t>
            </w:r>
            <w:r w:rsidR="007A1892" w:rsidRPr="00AB2241">
              <w:rPr>
                <w:rFonts w:cstheme="minorHAnsi"/>
              </w:rPr>
              <w:t xml:space="preserve"> nurodymais ir Užsakovo pateikt</w:t>
            </w:r>
            <w:r w:rsidR="00B00B17" w:rsidRPr="00AB2241">
              <w:rPr>
                <w:rFonts w:cstheme="minorHAnsi"/>
              </w:rPr>
              <w:t>a</w:t>
            </w:r>
            <w:r w:rsidR="007A1892" w:rsidRPr="00AB2241">
              <w:rPr>
                <w:rFonts w:cstheme="minorHAnsi"/>
              </w:rPr>
              <w:t xml:space="preserve"> informacij</w:t>
            </w:r>
            <w:r w:rsidR="00B00B17" w:rsidRPr="00AB2241">
              <w:rPr>
                <w:rFonts w:cstheme="minorHAnsi"/>
              </w:rPr>
              <w:t>a</w:t>
            </w:r>
            <w:r w:rsidR="007A1892" w:rsidRPr="00AB2241">
              <w:rPr>
                <w:rFonts w:cstheme="minorHAnsi"/>
              </w:rPr>
              <w:t>.</w:t>
            </w:r>
            <w:r w:rsidR="00D810C2" w:rsidRPr="00AB2241">
              <w:rPr>
                <w:rFonts w:cstheme="minorHAnsi"/>
              </w:rPr>
              <w:t xml:space="preserve"> </w:t>
            </w:r>
          </w:p>
        </w:tc>
      </w:tr>
      <w:tr w:rsidR="0047306C" w:rsidRPr="00AB2241" w14:paraId="4BF94F74" w14:textId="77777777" w:rsidTr="00AB2241">
        <w:trPr>
          <w:trHeight w:val="70"/>
        </w:trPr>
        <w:tc>
          <w:tcPr>
            <w:tcW w:w="317" w:type="pct"/>
            <w:vAlign w:val="center"/>
          </w:tcPr>
          <w:p w14:paraId="11AB4A56" w14:textId="77777777" w:rsidR="0047306C" w:rsidRPr="00AB2241" w:rsidRDefault="0047306C" w:rsidP="00AB2241">
            <w:pPr>
              <w:spacing w:after="0" w:line="240" w:lineRule="auto"/>
              <w:rPr>
                <w:rFonts w:cstheme="minorHAnsi"/>
              </w:rPr>
            </w:pPr>
            <w:r w:rsidRPr="00AB2241">
              <w:rPr>
                <w:rFonts w:cstheme="minorHAnsi"/>
              </w:rPr>
              <w:t>9.</w:t>
            </w:r>
          </w:p>
        </w:tc>
        <w:tc>
          <w:tcPr>
            <w:tcW w:w="4683" w:type="pct"/>
            <w:vAlign w:val="center"/>
          </w:tcPr>
          <w:p w14:paraId="734F8048" w14:textId="77777777" w:rsidR="008A5C1B" w:rsidRPr="00AB2241" w:rsidRDefault="000A3909" w:rsidP="00AB2241">
            <w:pPr>
              <w:spacing w:after="0" w:line="240" w:lineRule="auto"/>
              <w:jc w:val="both"/>
              <w:rPr>
                <w:rFonts w:cstheme="minorHAnsi"/>
              </w:rPr>
            </w:pPr>
            <w:r w:rsidRPr="00AB2241">
              <w:rPr>
                <w:rFonts w:cstheme="minorHAnsi"/>
              </w:rPr>
              <w:t>Sudaryti ir suderinti su Užsakovu darbo vietų ir darbų, atliekamų tik pagal paskyrą-leidimą, sąrašą.</w:t>
            </w:r>
            <w:r w:rsidR="002B77ED" w:rsidRPr="00AB2241">
              <w:rPr>
                <w:rFonts w:cstheme="minorHAnsi"/>
              </w:rPr>
              <w:t xml:space="preserve"> </w:t>
            </w:r>
            <w:r w:rsidRPr="00AB2241">
              <w:rPr>
                <w:rFonts w:cstheme="minorHAnsi"/>
              </w:rPr>
              <w:t>Paskyra-leidimas gali būti išduota tik suderinus su Užsakovu.</w:t>
            </w:r>
            <w:r w:rsidR="001C1A0F" w:rsidRPr="00AB2241">
              <w:rPr>
                <w:rFonts w:cstheme="minorHAnsi"/>
              </w:rPr>
              <w:t xml:space="preserve"> </w:t>
            </w:r>
          </w:p>
        </w:tc>
      </w:tr>
    </w:tbl>
    <w:p w14:paraId="3669F460" w14:textId="77777777" w:rsidR="000412C5" w:rsidRDefault="000412C5">
      <w:pPr>
        <w:rPr>
          <w:rFonts w:ascii="Times New Roman" w:hAnsi="Times New Roman"/>
          <w:sz w:val="24"/>
          <w:szCs w:val="24"/>
        </w:rPr>
      </w:pPr>
    </w:p>
    <w:p w14:paraId="19D0DB8C" w14:textId="77777777" w:rsidR="007C59A1" w:rsidRDefault="007C59A1">
      <w:pPr>
        <w:rPr>
          <w:rFonts w:ascii="Times New Roman" w:hAnsi="Times New Roman"/>
          <w:sz w:val="24"/>
          <w:szCs w:val="24"/>
        </w:rPr>
      </w:pPr>
    </w:p>
    <w:p w14:paraId="7C834713" w14:textId="77777777" w:rsidR="007C59A1" w:rsidRDefault="007C59A1">
      <w:pPr>
        <w:rPr>
          <w:rFonts w:ascii="Times New Roman" w:hAnsi="Times New Roman"/>
          <w:sz w:val="24"/>
          <w:szCs w:val="24"/>
        </w:rPr>
      </w:pPr>
    </w:p>
    <w:p w14:paraId="534A8D1A" w14:textId="77777777" w:rsidR="007C59A1" w:rsidRDefault="007C59A1">
      <w:pPr>
        <w:rPr>
          <w:rFonts w:ascii="Times New Roman" w:hAnsi="Times New Roman"/>
          <w:sz w:val="24"/>
          <w:szCs w:val="24"/>
        </w:rPr>
      </w:pPr>
    </w:p>
    <w:p w14:paraId="6E13F92E" w14:textId="77777777" w:rsidR="007C59A1" w:rsidRDefault="007C59A1">
      <w:pPr>
        <w:rPr>
          <w:rFonts w:ascii="Times New Roman" w:hAnsi="Times New Roman"/>
          <w:sz w:val="24"/>
          <w:szCs w:val="24"/>
        </w:rPr>
      </w:pPr>
    </w:p>
    <w:p w14:paraId="0F4B58A5" w14:textId="77777777" w:rsidR="007C59A1" w:rsidRPr="0047306C" w:rsidRDefault="007C59A1">
      <w:pPr>
        <w:rPr>
          <w:rFonts w:ascii="Times New Roman" w:hAnsi="Times New Roman"/>
          <w:sz w:val="24"/>
          <w:szCs w:val="24"/>
        </w:rPr>
      </w:pPr>
    </w:p>
    <w:sectPr w:rsidR="007C59A1" w:rsidRPr="0047306C" w:rsidSect="0047306C">
      <w:pgSz w:w="12240" w:h="15840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947F8" w14:textId="77777777" w:rsidR="00AB7298" w:rsidRDefault="00AB7298" w:rsidP="00075821">
      <w:pPr>
        <w:spacing w:after="0" w:line="240" w:lineRule="auto"/>
      </w:pPr>
      <w:r>
        <w:separator/>
      </w:r>
    </w:p>
  </w:endnote>
  <w:endnote w:type="continuationSeparator" w:id="0">
    <w:p w14:paraId="44FCC838" w14:textId="77777777" w:rsidR="00AB7298" w:rsidRDefault="00AB7298" w:rsidP="0007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45A07" w14:textId="77777777" w:rsidR="00AB7298" w:rsidRDefault="00AB7298" w:rsidP="00075821">
      <w:pPr>
        <w:spacing w:after="0" w:line="240" w:lineRule="auto"/>
      </w:pPr>
      <w:r>
        <w:separator/>
      </w:r>
    </w:p>
  </w:footnote>
  <w:footnote w:type="continuationSeparator" w:id="0">
    <w:p w14:paraId="393E4D81" w14:textId="77777777" w:rsidR="00AB7298" w:rsidRDefault="00AB7298" w:rsidP="00075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6C"/>
    <w:rsid w:val="00016563"/>
    <w:rsid w:val="000412C5"/>
    <w:rsid w:val="0006511E"/>
    <w:rsid w:val="00075821"/>
    <w:rsid w:val="00095604"/>
    <w:rsid w:val="000A3909"/>
    <w:rsid w:val="001C1A0F"/>
    <w:rsid w:val="00212656"/>
    <w:rsid w:val="00243419"/>
    <w:rsid w:val="002A39A9"/>
    <w:rsid w:val="002B4DDA"/>
    <w:rsid w:val="002B77ED"/>
    <w:rsid w:val="0034005F"/>
    <w:rsid w:val="00360ABE"/>
    <w:rsid w:val="0047306C"/>
    <w:rsid w:val="00697E91"/>
    <w:rsid w:val="0075474C"/>
    <w:rsid w:val="00760B05"/>
    <w:rsid w:val="00794AE3"/>
    <w:rsid w:val="007A1892"/>
    <w:rsid w:val="007C59A1"/>
    <w:rsid w:val="007E1F04"/>
    <w:rsid w:val="008A5C1B"/>
    <w:rsid w:val="00973DAA"/>
    <w:rsid w:val="009844A9"/>
    <w:rsid w:val="009C465F"/>
    <w:rsid w:val="00A10D0E"/>
    <w:rsid w:val="00A977D3"/>
    <w:rsid w:val="00AB2241"/>
    <w:rsid w:val="00AB7298"/>
    <w:rsid w:val="00B00B17"/>
    <w:rsid w:val="00B80AA6"/>
    <w:rsid w:val="00C34476"/>
    <w:rsid w:val="00D2597B"/>
    <w:rsid w:val="00D810C2"/>
    <w:rsid w:val="00E34C83"/>
    <w:rsid w:val="00E8528E"/>
    <w:rsid w:val="00F10696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1CEB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rsid w:val="004730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C59A1"/>
    <w:pPr>
      <w:spacing w:after="0" w:line="240" w:lineRule="auto"/>
      <w:ind w:left="720"/>
    </w:pPr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rsid w:val="002B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B4D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80A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A6"/>
    <w:rPr>
      <w:lang w:val="lt-LT" w:eastAsia="lt-LT"/>
    </w:rPr>
  </w:style>
  <w:style w:type="paragraph" w:styleId="Footer">
    <w:name w:val="footer"/>
    <w:basedOn w:val="Normal"/>
    <w:link w:val="FooterChar"/>
    <w:uiPriority w:val="99"/>
    <w:rsid w:val="00B80A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A6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3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aa4df4ad-5d2d-40cc-8892-0532580ad8da">Inicijavimas</Statusas>
    <Pirkimob_x016b_das xmlns="aa4df4ad-5d2d-40cc-8892-0532580ad8da" xsi:nil="true"/>
    <Savinink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2372DAB0-E8D7-43E6-934B-25E50CB8D9AB}"/>
</file>

<file path=customXml/itemProps2.xml><?xml version="1.0" encoding="utf-8"?>
<ds:datastoreItem xmlns:ds="http://schemas.openxmlformats.org/officeDocument/2006/customXml" ds:itemID="{8090A5E6-C7C8-4583-B256-7BFC1AB53987}"/>
</file>

<file path=customXml/itemProps3.xml><?xml version="1.0" encoding="utf-8"?>
<ds:datastoreItem xmlns:ds="http://schemas.openxmlformats.org/officeDocument/2006/customXml" ds:itemID="{235C15D6-7DDE-4C19-A131-BBD43F9D2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2020-12-09T12:49:00Z</dcterms:created>
  <dcterms:modified xsi:type="dcterms:W3CDTF">2020-12-09T12:49:00Z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2020-12-09T12:49:49Z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54d4b733-603c-4e4f-b6dd-e7a6a49339c2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2019-11-26T06:10:55.3618277Z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ContentTypeId">
    <vt:lpwstr>0x01010042590677BDB81E49A6E5799895AA61AB</vt:lpwstr>
  </property>
  <property fmtid="{D5CDD505-2E9C-101B-9397-08002B2CF9AE}" pid="12" name="MSIP_Label_cfcb905c-755b-4fd4-bd20-0d682d4f1d27_ActionId">
    <vt:lpwstr>73185020-1d5d-4e6e-9664-d0fa2fe06a1d</vt:lpwstr>
  </property>
  <property fmtid="{D5CDD505-2E9C-101B-9397-08002B2CF9AE}" pid="13" name="MSIP_Label_cfcb905c-755b-4fd4-bd20-0d682d4f1d27_SiteId">
    <vt:lpwstr>d91d5b65-9d38-4908-9bd1-ebc28a01cade</vt:lpwstr>
  </property>
  <property fmtid="{D5CDD505-2E9C-101B-9397-08002B2CF9AE}" pid="14" name="MSIP_Label_cfcb905c-755b-4fd4-bd20-0d682d4f1d27_Enabled">
    <vt:lpwstr>True</vt:lpwstr>
  </property>
  <property fmtid="{D5CDD505-2E9C-101B-9397-08002B2CF9AE}" pid="15" name="MSIP_Label_cfcb905c-755b-4fd4-bd20-0d682d4f1d27_Application">
    <vt:lpwstr>Microsoft Azure Information Protection</vt:lpwstr>
  </property>
  <property fmtid="{D5CDD505-2E9C-101B-9397-08002B2CF9AE}" pid="16" name="MSIP_Label_cfcb905c-755b-4fd4-bd20-0d682d4f1d27_Owner">
    <vt:lpwstr>almantas.spudys@litrail.lt</vt:lpwstr>
  </property>
  <property fmtid="{D5CDD505-2E9C-101B-9397-08002B2CF9AE}" pid="17" name="MSIP_Label_cfcb905c-755b-4fd4-bd20-0d682d4f1d27_Extended_MSFT_Method">
    <vt:lpwstr>Automatic</vt:lpwstr>
  </property>
  <property fmtid="{D5CDD505-2E9C-101B-9397-08002B2CF9AE}" pid="18" name="Sensitivity">
    <vt:lpwstr>Internal</vt:lpwstr>
  </property>
</Properties>
</file>