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381"/>
        <w:tblW w:w="25799" w:type="dxa"/>
        <w:tblLayout w:type="fixed"/>
        <w:tblLook w:val="04A0" w:firstRow="1" w:lastRow="0" w:firstColumn="1" w:lastColumn="0" w:noHBand="0" w:noVBand="1"/>
      </w:tblPr>
      <w:tblGrid>
        <w:gridCol w:w="527"/>
        <w:gridCol w:w="3154"/>
        <w:gridCol w:w="1843"/>
        <w:gridCol w:w="5953"/>
        <w:gridCol w:w="1701"/>
        <w:gridCol w:w="1559"/>
        <w:gridCol w:w="1418"/>
        <w:gridCol w:w="1984"/>
        <w:gridCol w:w="1985"/>
        <w:gridCol w:w="5675"/>
      </w:tblGrid>
      <w:tr w:rsidR="00731F66" w:rsidRPr="00F97544" w14:paraId="0C071F71" w14:textId="77777777" w:rsidTr="006C32F1">
        <w:trPr>
          <w:trHeight w:val="1159"/>
          <w:tblHeader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C071F66" w14:textId="29BD5F2F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bookmarkStart w:id="0" w:name="_Hlk28612518"/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Eil. Nr.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240B52A0" w14:textId="715575A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F97544">
              <w:rPr>
                <w:rFonts w:eastAsia="Times New Roman" w:cstheme="minorHAnsi"/>
                <w:b/>
                <w:bCs/>
                <w:color w:val="FFFFFF" w:themeColor="background1"/>
                <w:lang w:eastAsia="lt-LT"/>
              </w:rPr>
              <w:t>Geležinkelių paslaugų įrenginys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C071F67" w14:textId="4ED387BE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Paslaugos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C071F68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Paslaugos turinys (pateikiamas trumpas aprašymas, be santrumpų)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C071F69" w14:textId="742F96D5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Paslaugos matavimo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131B58CB" w14:textId="77777777" w:rsidR="00D13C01" w:rsidRPr="00F97544" w:rsidRDefault="00D13C01" w:rsidP="00F975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  <w:p w14:paraId="0008D277" w14:textId="73FB6952" w:rsidR="00D13C01" w:rsidRPr="00F97544" w:rsidRDefault="00D13C01" w:rsidP="00126A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Vieta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66A6FFE5" w14:textId="7422C028" w:rsidR="00D13C01" w:rsidRPr="008C01BD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Preliminarus kiekis, 12 mėn.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</w:tcPr>
          <w:p w14:paraId="5E4AF105" w14:textId="47B939D4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Įkainis Eur (be PVM)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4C8BF8E3" w14:textId="77777777" w:rsidR="00D13C01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Bendra kaina,</w:t>
            </w:r>
            <w:r w:rsidRPr="00F97544"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 xml:space="preserve"> Eur (be PVM)</w:t>
            </w:r>
          </w:p>
          <w:p w14:paraId="3F7A33DD" w14:textId="77777777" w:rsidR="00AE654A" w:rsidRDefault="00AE654A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</w:p>
          <w:p w14:paraId="0C071F6A" w14:textId="0B2B81FB" w:rsidR="00AE654A" w:rsidRPr="00F97544" w:rsidRDefault="00AE654A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</w:rPr>
              <w:t>(6 x 7)</w:t>
            </w:r>
          </w:p>
        </w:tc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1F70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D13C01" w:rsidRPr="00F97544" w14:paraId="0450DAAD" w14:textId="77777777" w:rsidTr="006C32F1">
        <w:trPr>
          <w:trHeight w:val="522"/>
          <w:tblHeader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9C1F2" w14:textId="77777777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23CC6" w14:textId="64FAE8E5" w:rsidR="00D13C01" w:rsidRPr="00D13C01" w:rsidRDefault="00D13C01" w:rsidP="00D13C01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lang w:eastAsia="lt-LT"/>
              </w:rPr>
            </w:pPr>
            <w:r w:rsidRPr="00D13C01">
              <w:rPr>
                <w:rFonts w:eastAsia="Times New Roman" w:cstheme="minorHAnsi"/>
                <w:i/>
                <w:iCs/>
                <w:lang w:eastAsia="lt-L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26C4B" w14:textId="08C59115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D13C01">
              <w:rPr>
                <w:rFonts w:ascii="Calibri" w:eastAsia="Times New Roman" w:hAnsi="Calibri" w:cs="Times New Roman"/>
                <w:i/>
                <w:iCs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15688" w14:textId="1E5B77B9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D13C01">
              <w:rPr>
                <w:rFonts w:ascii="Calibri" w:eastAsia="Times New Roman" w:hAnsi="Calibri" w:cs="Times New Roman"/>
                <w:i/>
                <w:i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7EB7" w14:textId="360CA450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D13C01">
              <w:rPr>
                <w:rFonts w:ascii="Calibri" w:eastAsia="Times New Roman" w:hAnsi="Calibri" w:cs="Times New Roman"/>
                <w:i/>
                <w:i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70E1E" w14:textId="1E085C11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D13C01">
              <w:rPr>
                <w:rFonts w:ascii="Calibri" w:eastAsia="Times New Roman" w:hAnsi="Calibri" w:cs="Times New Roman"/>
                <w:i/>
                <w:i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5745C" w14:textId="41C0CB32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D13C01">
              <w:rPr>
                <w:rFonts w:ascii="Calibri" w:eastAsia="Times New Roman" w:hAnsi="Calibri" w:cs="Times New Roman"/>
                <w:i/>
                <w:iCs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DB0A3" w14:textId="3264D9C8" w:rsidR="00D13C01" w:rsidRPr="00D13C01" w:rsidRDefault="00D13C01" w:rsidP="00D13C01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</w:rPr>
            </w:pPr>
            <w:r>
              <w:rPr>
                <w:rFonts w:ascii="Calibri" w:eastAsia="Times New Roman" w:hAnsi="Calibri" w:cs="Times New Roman"/>
                <w:i/>
                <w:iCs/>
              </w:rPr>
              <w:t xml:space="preserve">                 </w:t>
            </w:r>
            <w:r w:rsidRPr="00D13C01">
              <w:rPr>
                <w:rFonts w:ascii="Calibri" w:eastAsia="Times New Roman" w:hAnsi="Calibri" w:cs="Times New Roman"/>
                <w:i/>
                <w:iCs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E0E12" w14:textId="633AC1F6" w:rsidR="00D13C01" w:rsidRPr="00D13C01" w:rsidRDefault="00D13C01" w:rsidP="00D13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</w:rPr>
            </w:pPr>
            <w:r w:rsidRPr="00D13C01">
              <w:rPr>
                <w:rFonts w:ascii="Calibri" w:eastAsia="Times New Roman" w:hAnsi="Calibri" w:cs="Times New Roman"/>
                <w:i/>
                <w:iCs/>
              </w:rPr>
              <w:t>8</w:t>
            </w:r>
          </w:p>
        </w:tc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E8C80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731F66" w:rsidRPr="00F97544" w14:paraId="0C071F7E" w14:textId="77777777" w:rsidTr="006C32F1">
        <w:trPr>
          <w:trHeight w:val="66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72" w14:textId="587A1949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9870" w14:textId="4A9F5A34" w:rsidR="00D13C01" w:rsidRPr="00F97544" w:rsidRDefault="00D13C01" w:rsidP="00F97544">
            <w:pPr>
              <w:tabs>
                <w:tab w:val="left" w:pos="207"/>
              </w:tabs>
              <w:spacing w:after="0" w:line="240" w:lineRule="auto"/>
              <w:jc w:val="both"/>
              <w:rPr>
                <w:rFonts w:cstheme="minorHAnsi"/>
              </w:rPr>
            </w:pPr>
            <w:r w:rsidRPr="00F97544">
              <w:rPr>
                <w:rFonts w:cstheme="minorHAnsi"/>
              </w:rPr>
              <w:t xml:space="preserve">I kategorijos </w:t>
            </w:r>
            <w:r>
              <w:rPr>
                <w:rFonts w:cstheme="minorHAnsi"/>
              </w:rPr>
              <w:t>k</w:t>
            </w:r>
            <w:r w:rsidRPr="00F97544">
              <w:rPr>
                <w:rFonts w:cstheme="minorHAnsi"/>
              </w:rPr>
              <w:t xml:space="preserve">eleivių geležinkelio stotys, jų pastatai ir kiti įrenginiai įskaitant kelionių informacijos skelbimo ir bilietų įsigijimo </w:t>
            </w:r>
            <w:r>
              <w:rPr>
                <w:rFonts w:cstheme="minorHAnsi"/>
              </w:rPr>
              <w:t>paslaugai teikti tinkamos vietos.</w:t>
            </w:r>
          </w:p>
          <w:p w14:paraId="2041A9C7" w14:textId="7B5F4A7B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73" w14:textId="258BF48B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</w:rPr>
              <w:t xml:space="preserve">Naudojimasis keleivių </w:t>
            </w:r>
            <w:r>
              <w:rPr>
                <w:rFonts w:ascii="Calibri" w:eastAsia="Times New Roman" w:hAnsi="Calibri" w:cs="Times New Roman"/>
                <w:b/>
                <w:bCs/>
              </w:rPr>
              <w:t>stotimis, jų pastatais ir kitais įrenginiais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74" w14:textId="37706411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 xml:space="preserve">Suteikiama galimybė </w:t>
            </w:r>
            <w:r>
              <w:rPr>
                <w:rFonts w:ascii="Calibri" w:eastAsia="Times New Roman" w:hAnsi="Calibri" w:cs="Times New Roman"/>
              </w:rPr>
              <w:t xml:space="preserve">keleiviams naudotis geležinkelio stočių pastatais (jų viešosiomis erdvėmis), keleivių informavimo stendais (švieslentėmis) bei garsine įranga (išskyrus naudojimąsi bilietų pardavimo erdvėmis).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75" w14:textId="28DE7B0F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Keleivinio traukinio sustojimas (vnt.)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54B" w14:textId="2843467F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I kat. Stotyse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FE11" w14:textId="4791B12F" w:rsidR="00D13C01" w:rsidRPr="00731F66" w:rsidRDefault="00D13C01" w:rsidP="00AE65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</w:rPr>
              <w:t>82320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0CF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3DE44470" w14:textId="18BAA1C8" w:rsidR="00D13C01" w:rsidRPr="00C63F6C" w:rsidRDefault="008357F5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6</w:t>
            </w:r>
            <w:r w:rsidR="00FC4B41" w:rsidRPr="00C63F6C">
              <w:rPr>
                <w:rFonts w:eastAsia="Times New Roman" w:cstheme="minorHAnsi"/>
                <w:lang w:val="en-GB"/>
              </w:rPr>
              <w:t>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76" w14:textId="5CDA02AD" w:rsidR="00D13C01" w:rsidRPr="00F97544" w:rsidRDefault="00211796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533433.60</w:t>
            </w:r>
          </w:p>
          <w:p w14:paraId="0C071F77" w14:textId="751C1FAC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56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1F7D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1F66" w:rsidRPr="00F97544" w14:paraId="27C93310" w14:textId="77777777" w:rsidTr="006C32F1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5334BEB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43FCC" w14:textId="77777777" w:rsidR="00D13C01" w:rsidRPr="00F97544" w:rsidRDefault="00D13C01" w:rsidP="00745A3F">
            <w:pPr>
              <w:tabs>
                <w:tab w:val="left" w:pos="207"/>
              </w:tabs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440759D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CF4C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401F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0CA" w14:textId="1D74C908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II kat. Stotyse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159C" w14:textId="079A5FE2" w:rsidR="00D13C01" w:rsidRPr="00731F66" w:rsidRDefault="00D13C01" w:rsidP="00AE65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</w:rPr>
              <w:t>550212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A804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14DB81FE" w14:textId="250C2629" w:rsidR="00D13C01" w:rsidRPr="00C63F6C" w:rsidRDefault="00FC4B41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5.94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B0DE" w14:textId="4139C97F" w:rsidR="00D13C01" w:rsidRPr="00F97544" w:rsidRDefault="00AC33C2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3268259.28</w:t>
            </w:r>
          </w:p>
        </w:tc>
        <w:tc>
          <w:tcPr>
            <w:tcW w:w="567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F2B1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1F66" w:rsidRPr="00F97544" w14:paraId="0C071F8B" w14:textId="77777777" w:rsidTr="006C32F1">
        <w:trPr>
          <w:trHeight w:val="583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7F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9EBD" w14:textId="3113408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cstheme="minorHAnsi"/>
              </w:rPr>
              <w:t>II kategorijos</w:t>
            </w:r>
            <w:r>
              <w:rPr>
                <w:rFonts w:cstheme="minorHAnsi"/>
              </w:rPr>
              <w:t xml:space="preserve"> keleivių geležinkelio stotys, jų pastatai ir kiti įrenginiai, kelionių informacijos skelbimo ir bilietų įsigijimo paslaugai teikti tinkamos vietos.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80" w14:textId="3C247EB3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</w:rPr>
              <w:t>Naudojimasis bilietų pardavimo erdvėmis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81" w14:textId="774D57B5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Paslaugos gavėjui geležinkelio stotyje suteikiami plotai ar patalpos įrengti bilietų pardavimo kasas ar įrenginius</w:t>
            </w:r>
            <w:r w:rsidRPr="00F97544">
              <w:rPr>
                <w:rFonts w:cs="Times New Roman"/>
              </w:rPr>
              <w:t>, skirtus automatiniam bilietų pardavimui</w:t>
            </w:r>
            <w:r w:rsidRPr="00F97544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82" w14:textId="1768880D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Kvadratinis metras (m</w:t>
            </w:r>
            <w:r w:rsidRPr="00F97544">
              <w:rPr>
                <w:rFonts w:ascii="Calibri" w:eastAsia="Times New Roman" w:hAnsi="Calibri" w:cs="Times New Roman"/>
                <w:vertAlign w:val="superscript"/>
              </w:rPr>
              <w:t>2</w:t>
            </w:r>
            <w:r w:rsidRPr="00F97544">
              <w:rPr>
                <w:rFonts w:ascii="Calibri" w:eastAsia="Times New Roman" w:hAnsi="Calibri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0B98" w14:textId="232D5E50" w:rsidR="00D13C01" w:rsidRPr="00F97544" w:rsidRDefault="00D13C01" w:rsidP="00F975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I kat. Stotyse –</w:t>
            </w:r>
          </w:p>
          <w:p w14:paraId="597D5297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546B" w14:textId="17F8032D" w:rsidR="00D13C01" w:rsidRPr="00731F66" w:rsidRDefault="00D13C01" w:rsidP="00AE65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</w:rPr>
              <w:t>5098.2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A0F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3AD16DEA" w14:textId="25DA9957" w:rsidR="00D13C01" w:rsidRPr="00C63F6C" w:rsidRDefault="00FC4B41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84" w14:textId="140A7AE5" w:rsidR="00D13C01" w:rsidRPr="00F97544" w:rsidRDefault="00AC33C2" w:rsidP="00F9754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30640.19</w:t>
            </w:r>
          </w:p>
        </w:tc>
        <w:tc>
          <w:tcPr>
            <w:tcW w:w="56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71F8A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1F66" w:rsidRPr="00F97544" w14:paraId="015546B5" w14:textId="77777777" w:rsidTr="006C32F1">
        <w:trPr>
          <w:trHeight w:val="70"/>
        </w:trPr>
        <w:tc>
          <w:tcPr>
            <w:tcW w:w="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EE0E23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1887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936B548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5482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F8C3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4F6B" w14:textId="49281EAB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 xml:space="preserve">II kat. Stotyse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D9FB" w14:textId="13CC5933" w:rsidR="00D13C01" w:rsidRPr="00731F66" w:rsidRDefault="00D13C01" w:rsidP="00AE654A">
            <w:pPr>
              <w:spacing w:after="0" w:line="240" w:lineRule="auto"/>
              <w:ind w:left="-1813" w:firstLine="1813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</w:rPr>
              <w:t>6121.92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D61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542285C5" w14:textId="0BA697EC" w:rsidR="00D13C01" w:rsidRPr="00C63F6C" w:rsidRDefault="00FC4B41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5.51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1C25" w14:textId="0D797363" w:rsidR="00D13C01" w:rsidRPr="00F97544" w:rsidRDefault="00200086" w:rsidP="00F97544">
            <w:pPr>
              <w:spacing w:after="0" w:line="240" w:lineRule="auto"/>
              <w:ind w:left="-1813" w:firstLine="1813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33731.78</w:t>
            </w:r>
          </w:p>
        </w:tc>
        <w:tc>
          <w:tcPr>
            <w:tcW w:w="567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77FF9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1F66" w:rsidRPr="00F97544" w14:paraId="0C071FA3" w14:textId="77777777" w:rsidTr="006C32F1">
        <w:trPr>
          <w:trHeight w:val="7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98" w14:textId="5974412D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4589" w14:textId="00A3F417" w:rsidR="00D13C01" w:rsidRPr="00F97544" w:rsidRDefault="00D13C01" w:rsidP="00BC652F">
            <w:pPr>
              <w:jc w:val="both"/>
              <w:rPr>
                <w:rFonts w:ascii="Calibri" w:hAnsi="Calibri" w:cs="Calibri"/>
              </w:rPr>
            </w:pPr>
            <w:r w:rsidRPr="00F97544">
              <w:rPr>
                <w:rFonts w:ascii="Calibri" w:hAnsi="Calibri" w:cs="Calibri"/>
              </w:rPr>
              <w:t xml:space="preserve">Kaupiamieji </w:t>
            </w:r>
            <w:proofErr w:type="spellStart"/>
            <w:r w:rsidRPr="00F97544">
              <w:rPr>
                <w:rFonts w:ascii="Calibri" w:hAnsi="Calibri" w:cs="Calibri"/>
              </w:rPr>
              <w:t>kelynai</w:t>
            </w:r>
            <w:proofErr w:type="spellEnd"/>
            <w:r w:rsidRPr="00F97544">
              <w:rPr>
                <w:rFonts w:ascii="Calibri" w:hAnsi="Calibri" w:cs="Calibri"/>
              </w:rPr>
              <w:t xml:space="preserve">, traukinių formavimo ir manevravimo įrenginiai </w:t>
            </w:r>
          </w:p>
          <w:p w14:paraId="3FFC8B02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99" w14:textId="228E165C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F97544">
              <w:rPr>
                <w:rFonts w:ascii="Calibri" w:eastAsia="Calibri" w:hAnsi="Calibri" w:cs="Calibri"/>
                <w:b/>
                <w:bCs/>
              </w:rPr>
              <w:t>Naudojimasis geležinkelių paslaugų įrenginiui priklausančiais privažiuojamaisiais ar jungiamaisiais geležinkelio keliais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1F9A" w14:textId="34256F96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t xml:space="preserve">Paslaugos gavėjui yra suteikiama galimybė  geležinkelių paslaugų įrenginiui (toliau – GPĮ) priklausančiais privažiuojamaisiais ir jungiamaisiais geležinkelio keliais traukti </w:t>
            </w:r>
            <w:r>
              <w:t>pirmyn ir atgal geležinkelių</w:t>
            </w:r>
            <w:r w:rsidRPr="00F97544">
              <w:t xml:space="preserve"> riedmenis nuo geležinkelio stoties ašies </w:t>
            </w:r>
            <w:r>
              <w:t xml:space="preserve">arba, išimties atvejais, </w:t>
            </w:r>
            <w:proofErr w:type="spellStart"/>
            <w:r>
              <w:t>kelyno</w:t>
            </w:r>
            <w:proofErr w:type="spellEnd"/>
            <w:r>
              <w:t xml:space="preserve"> ašies  (</w:t>
            </w:r>
            <w:proofErr w:type="spellStart"/>
            <w:r>
              <w:t>kelyno</w:t>
            </w:r>
            <w:proofErr w:type="spellEnd"/>
            <w:r>
              <w:t xml:space="preserve"> ašis taikoma tik išimtiniais atvejais Kauno ir Klaipėdos stotyse, kuomet riedmenys atvyksta ne į pagrindinę Kauno ar Klaipėdos stotį, o į Palemono ar </w:t>
            </w:r>
            <w:proofErr w:type="spellStart"/>
            <w:r>
              <w:t>Pauosčio</w:t>
            </w:r>
            <w:proofErr w:type="spellEnd"/>
            <w:r>
              <w:t xml:space="preserve"> </w:t>
            </w:r>
            <w:proofErr w:type="spellStart"/>
            <w:r>
              <w:t>kelyną</w:t>
            </w:r>
            <w:proofErr w:type="spellEnd"/>
            <w:r>
              <w:t xml:space="preserve"> tiesiai iš </w:t>
            </w:r>
            <w:proofErr w:type="spellStart"/>
            <w:r>
              <w:t>tarpstočio</w:t>
            </w:r>
            <w:proofErr w:type="spellEnd"/>
            <w:r>
              <w:t xml:space="preserve">)) iki Valdytojo valdomo GPĮ priskirto privažiuojamojo ar jungiamojo geležinkelio kelio ribos, skaičiuojant visą Valdytojo valdomo GPĮ priskirto </w:t>
            </w:r>
            <w:r w:rsidRPr="00F97544">
              <w:t xml:space="preserve">privažiuojamojo </w:t>
            </w:r>
            <w:r>
              <w:t>ir (</w:t>
            </w:r>
            <w:r w:rsidRPr="00F97544">
              <w:t>ar</w:t>
            </w:r>
            <w:r>
              <w:t>)</w:t>
            </w:r>
            <w:r w:rsidRPr="00F97544">
              <w:t xml:space="preserve"> jungiamojo kelio ribos</w:t>
            </w:r>
            <w:r>
              <w:t xml:space="preserve"> atstumą nuo geležinkelio kelio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9B" w14:textId="77777777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Geležinkelių riedmens kilometras (vagono km)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32F9" w14:textId="77777777" w:rsidR="00D13C01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1CAF6B85" w14:textId="77777777" w:rsidR="00D13C01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443A39D3" w14:textId="3EFFE334" w:rsidR="00D13C01" w:rsidRPr="00F97544" w:rsidRDefault="00D13C01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Atitinkama geležinkelio stotis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F5F" w14:textId="2A0BB0F8" w:rsidR="00D13C01" w:rsidRPr="00731F66" w:rsidRDefault="00D13C01" w:rsidP="00AE65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</w:rPr>
              <w:t>1677435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FAEC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1CF64DBA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05C83AD0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1E03769F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0D4E9A6C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2DB37DD1" w14:textId="05EA6C6F" w:rsidR="00D13C01" w:rsidRPr="00C63F6C" w:rsidRDefault="007539BF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0.49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9C" w14:textId="731F2128" w:rsidR="00D13C01" w:rsidRPr="00F97544" w:rsidRDefault="00200086" w:rsidP="00BC652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821943.15</w:t>
            </w:r>
          </w:p>
        </w:tc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1FA2" w14:textId="77777777" w:rsidR="00D13C01" w:rsidRPr="00F97544" w:rsidRDefault="00D13C01" w:rsidP="00E936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31F66" w:rsidRPr="00F97544" w14:paraId="0C071FAF" w14:textId="77777777" w:rsidTr="006C32F1">
        <w:trPr>
          <w:trHeight w:val="73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A4" w14:textId="6D2534A5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4.</w:t>
            </w:r>
          </w:p>
        </w:tc>
        <w:tc>
          <w:tcPr>
            <w:tcW w:w="3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C0ECE" w14:textId="77777777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A5" w14:textId="2EC8ADB0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</w:rPr>
              <w:t>Naudojimasis traukinių formavimo ir manevravimo įrenginiais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1FA6" w14:textId="24924143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t>Paslaugos gavėjui yra suteikiami geležinkelio stoties geležinkelio keliai, iešmai, signalizacijos įrenginiai ir kiti įrenginiai traukiniui suformuoti pradinėje ar išformuoti galinėje geležinkelio stotyje.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A7" w14:textId="20382727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Vagonų skaičius (vnt.)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D689" w14:textId="106B8633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Atitinkama geležinkelio stotis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1C1" w14:textId="68ECFC44" w:rsidR="00D13C01" w:rsidRPr="00731F66" w:rsidRDefault="00D13C01" w:rsidP="00AE65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</w:rPr>
              <w:t>3672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F142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6C83917E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6C020DEF" w14:textId="3DDD43EC" w:rsidR="00D13C01" w:rsidRP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A8" w14:textId="170955E2" w:rsidR="00D13C01" w:rsidRPr="00F97544" w:rsidRDefault="00722FA7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9180.00</w:t>
            </w:r>
          </w:p>
        </w:tc>
        <w:tc>
          <w:tcPr>
            <w:tcW w:w="5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1FAE" w14:textId="77777777" w:rsidR="00D13C01" w:rsidRPr="00F97544" w:rsidRDefault="00D13C01" w:rsidP="00FC4A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13C01" w:rsidRPr="00F97544" w14:paraId="0C071FBA" w14:textId="77777777" w:rsidTr="006C32F1">
        <w:trPr>
          <w:gridAfter w:val="1"/>
          <w:wAfter w:w="5675" w:type="dxa"/>
          <w:trHeight w:val="98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B0" w14:textId="047BBFF5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31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11D9B" w14:textId="77777777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71FB1" w14:textId="56BD76BD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F97544">
              <w:rPr>
                <w:rFonts w:ascii="Calibri" w:eastAsia="Times New Roman" w:hAnsi="Calibri" w:cs="Times New Roman"/>
                <w:b/>
                <w:bCs/>
              </w:rPr>
              <w:t>Naudojimasis geležinkelių paslaugų įrenginiais geležinkelių riedmenų laikymui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B2" w14:textId="743169CB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Paslaugos gavėjui yra suteikiami viešosios geležinkelių infrastruktūros geležinkelio stoties keliai riedmenų laikymui. Riedmens laikymas paslaugų įrenginyje suprantamas kaip dėl bet kokios priežasties geležinkelių riedmens buvimas paslaugų įrenginyje virš 24 val.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B3" w14:textId="77777777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F97544">
              <w:rPr>
                <w:rFonts w:ascii="Calibri" w:eastAsia="Times New Roman" w:hAnsi="Calibri" w:cs="Times New Roman"/>
              </w:rPr>
              <w:t>Para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1F40" w14:textId="387073CD" w:rsidR="00D13C01" w:rsidRPr="00F97544" w:rsidRDefault="00D13C01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Atitinkama geležinkelio stotis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9F90" w14:textId="7FFCBA25" w:rsidR="00D13C01" w:rsidRPr="00731F66" w:rsidRDefault="00D13C01" w:rsidP="00AE654A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731F66">
              <w:rPr>
                <w:rFonts w:eastAsia="Times New Roman" w:cstheme="minorHAnsi"/>
                <w:lang w:val="en-GB"/>
              </w:rPr>
              <w:t>792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271B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7AC012FD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25AC8225" w14:textId="77777777" w:rsid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</w:p>
          <w:p w14:paraId="7A33AD86" w14:textId="35A568A6" w:rsidR="00D13C01" w:rsidRPr="00C63F6C" w:rsidRDefault="00C63F6C" w:rsidP="00C63F6C">
            <w:pPr>
              <w:spacing w:after="0" w:line="240" w:lineRule="auto"/>
              <w:jc w:val="center"/>
              <w:rPr>
                <w:rFonts w:eastAsia="Times New Roman" w:cstheme="minorHAnsi"/>
                <w:lang w:val="en-GB"/>
              </w:rPr>
            </w:pPr>
            <w:r w:rsidRPr="00C63F6C">
              <w:rPr>
                <w:rFonts w:eastAsia="Times New Roman" w:cstheme="minorHAnsi"/>
                <w:lang w:val="en-GB"/>
              </w:rPr>
              <w:t>3.55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FB4" w14:textId="37D0E2A3" w:rsidR="00D13C01" w:rsidRPr="00F97544" w:rsidRDefault="003B31B6" w:rsidP="00FC4A9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2811.60</w:t>
            </w:r>
          </w:p>
        </w:tc>
      </w:tr>
      <w:tr w:rsidR="00A448C4" w:rsidRPr="00F97544" w14:paraId="6CAEE698" w14:textId="77777777" w:rsidTr="006C32F1">
        <w:trPr>
          <w:gridAfter w:val="1"/>
          <w:wAfter w:w="5675" w:type="dxa"/>
          <w:trHeight w:val="70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43D10C1" w14:textId="06C3505B" w:rsidR="00A448C4" w:rsidRPr="00F97544" w:rsidRDefault="00A448C4" w:rsidP="00F97544">
            <w:pPr>
              <w:jc w:val="right"/>
            </w:pPr>
            <w:r w:rsidRPr="00F97544">
              <w:rPr>
                <w:rFonts w:ascii="Calibri" w:eastAsia="Times New Roman" w:hAnsi="Calibri" w:cs="Times New Roman"/>
              </w:rPr>
              <w:t>Bendra pasiūlymo kaina Eur be PVM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24B" w14:textId="67EB993D" w:rsidR="00A448C4" w:rsidRPr="00F97544" w:rsidRDefault="007F38C5" w:rsidP="008E31CE">
            <w:r>
              <w:t>46</w:t>
            </w:r>
            <w:r w:rsidR="00AC3408">
              <w:t>99999.60</w:t>
            </w:r>
          </w:p>
        </w:tc>
      </w:tr>
      <w:tr w:rsidR="00A448C4" w:rsidRPr="00F97544" w14:paraId="2D01A002" w14:textId="77777777" w:rsidTr="006C32F1">
        <w:trPr>
          <w:gridAfter w:val="1"/>
          <w:wAfter w:w="5675" w:type="dxa"/>
          <w:trHeight w:val="553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332D347" w14:textId="4D58A26A" w:rsidR="00A448C4" w:rsidRPr="00F97544" w:rsidRDefault="00A448C4" w:rsidP="00F97544">
            <w:pPr>
              <w:jc w:val="right"/>
            </w:pPr>
            <w:r w:rsidRPr="00F97544">
              <w:rPr>
                <w:rFonts w:ascii="Calibri" w:eastAsia="Times New Roman" w:hAnsi="Calibri" w:cs="Times New Roman"/>
              </w:rPr>
              <w:t>21 proc. PVM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F99" w14:textId="2A493F69" w:rsidR="00A448C4" w:rsidRPr="00F97544" w:rsidRDefault="0084454A" w:rsidP="008E31CE">
            <w:r>
              <w:t>986999.92</w:t>
            </w:r>
          </w:p>
        </w:tc>
      </w:tr>
      <w:tr w:rsidR="00A448C4" w:rsidRPr="00086187" w14:paraId="4D203FBB" w14:textId="77777777" w:rsidTr="006C32F1">
        <w:trPr>
          <w:gridAfter w:val="1"/>
          <w:wAfter w:w="5675" w:type="dxa"/>
          <w:trHeight w:val="561"/>
        </w:trPr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F34EAB" w14:textId="0F8472EB" w:rsidR="00A448C4" w:rsidRDefault="00A448C4" w:rsidP="00F97544">
            <w:pPr>
              <w:jc w:val="right"/>
            </w:pPr>
            <w:r w:rsidRPr="00F97544">
              <w:rPr>
                <w:rFonts w:ascii="Calibri" w:eastAsia="Times New Roman" w:hAnsi="Calibri" w:cs="Times New Roman"/>
              </w:rPr>
              <w:t>Bendra pasiūlymo kaina Eur su PVM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6646" w14:textId="51572CB5" w:rsidR="00A448C4" w:rsidRDefault="00AC3408" w:rsidP="008E31CE">
            <w:r>
              <w:t>5686999.52</w:t>
            </w:r>
          </w:p>
        </w:tc>
      </w:tr>
      <w:tr w:rsidR="00731F66" w:rsidRPr="00086187" w14:paraId="0C071FE7" w14:textId="77777777" w:rsidTr="006C32F1">
        <w:trPr>
          <w:trHeight w:val="297"/>
        </w:trPr>
        <w:tc>
          <w:tcPr>
            <w:tcW w:w="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FDC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01D0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FDD" w14:textId="375FAC5B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FDE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FDF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58CFB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64B02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2C9AF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1FE0" w14:textId="032CFD6C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71FE6" w14:textId="77777777" w:rsidR="00D13C01" w:rsidRPr="00086187" w:rsidRDefault="00D13C01" w:rsidP="008E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FFF769F" w14:textId="77777777" w:rsidR="00487989" w:rsidRPr="00086187" w:rsidRDefault="00487989"/>
    <w:sectPr w:rsidR="00487989" w:rsidRPr="00086187" w:rsidSect="008D34B4">
      <w:headerReference w:type="default" r:id="rId11"/>
      <w:pgSz w:w="23814" w:h="16839" w:orient="landscape" w:code="8"/>
      <w:pgMar w:top="141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0B383" w14:textId="77777777" w:rsidR="00FC1734" w:rsidRDefault="00FC1734" w:rsidP="00C863A9">
      <w:pPr>
        <w:spacing w:after="0" w:line="240" w:lineRule="auto"/>
      </w:pPr>
      <w:r>
        <w:separator/>
      </w:r>
    </w:p>
  </w:endnote>
  <w:endnote w:type="continuationSeparator" w:id="0">
    <w:p w14:paraId="3EDDA6AC" w14:textId="77777777" w:rsidR="00FC1734" w:rsidRDefault="00FC1734" w:rsidP="00C8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94097" w14:textId="77777777" w:rsidR="00FC1734" w:rsidRDefault="00FC1734" w:rsidP="00C863A9">
      <w:pPr>
        <w:spacing w:after="0" w:line="240" w:lineRule="auto"/>
      </w:pPr>
      <w:r>
        <w:separator/>
      </w:r>
    </w:p>
  </w:footnote>
  <w:footnote w:type="continuationSeparator" w:id="0">
    <w:p w14:paraId="33AC8EC9" w14:textId="77777777" w:rsidR="00FC1734" w:rsidRDefault="00FC1734" w:rsidP="00C86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7D73E" w14:textId="6F89DAB4" w:rsidR="00BC652F" w:rsidRPr="00BC652F" w:rsidRDefault="004F3814" w:rsidP="004F3814">
    <w:pPr>
      <w:pStyle w:val="Header"/>
      <w:jc w:val="right"/>
      <w:rPr>
        <w:b/>
        <w:bCs/>
      </w:rPr>
    </w:pPr>
    <w:r>
      <w:rPr>
        <w:b/>
        <w:bCs/>
      </w:rPr>
      <w:t>Pasiūlymo formos 1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B4524"/>
    <w:multiLevelType w:val="hybridMultilevel"/>
    <w:tmpl w:val="4D5E97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33342"/>
    <w:multiLevelType w:val="hybridMultilevel"/>
    <w:tmpl w:val="72A6CE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87"/>
    <w:rsid w:val="0005009F"/>
    <w:rsid w:val="000778B7"/>
    <w:rsid w:val="00083404"/>
    <w:rsid w:val="00086187"/>
    <w:rsid w:val="000D033B"/>
    <w:rsid w:val="000D41AF"/>
    <w:rsid w:val="00113DB5"/>
    <w:rsid w:val="00126A7B"/>
    <w:rsid w:val="00190DCC"/>
    <w:rsid w:val="00192AF4"/>
    <w:rsid w:val="001B193C"/>
    <w:rsid w:val="001D6EBE"/>
    <w:rsid w:val="00200086"/>
    <w:rsid w:val="002058E0"/>
    <w:rsid w:val="00211796"/>
    <w:rsid w:val="002149F9"/>
    <w:rsid w:val="00256D8B"/>
    <w:rsid w:val="002B3E84"/>
    <w:rsid w:val="002B757F"/>
    <w:rsid w:val="002F7129"/>
    <w:rsid w:val="00323930"/>
    <w:rsid w:val="00340E9A"/>
    <w:rsid w:val="003608C2"/>
    <w:rsid w:val="003A3095"/>
    <w:rsid w:val="003A63C9"/>
    <w:rsid w:val="003B31B6"/>
    <w:rsid w:val="003B5B97"/>
    <w:rsid w:val="003D01B2"/>
    <w:rsid w:val="003F71B6"/>
    <w:rsid w:val="00424704"/>
    <w:rsid w:val="00446A8C"/>
    <w:rsid w:val="00480A6A"/>
    <w:rsid w:val="00484FF8"/>
    <w:rsid w:val="00485198"/>
    <w:rsid w:val="00487989"/>
    <w:rsid w:val="0049444E"/>
    <w:rsid w:val="004A6225"/>
    <w:rsid w:val="004F3814"/>
    <w:rsid w:val="004F6541"/>
    <w:rsid w:val="0051192F"/>
    <w:rsid w:val="00512114"/>
    <w:rsid w:val="005428BD"/>
    <w:rsid w:val="00543172"/>
    <w:rsid w:val="00583F37"/>
    <w:rsid w:val="005A07CC"/>
    <w:rsid w:val="005A104A"/>
    <w:rsid w:val="005B1581"/>
    <w:rsid w:val="005B58FC"/>
    <w:rsid w:val="005D7B51"/>
    <w:rsid w:val="005E3169"/>
    <w:rsid w:val="00616926"/>
    <w:rsid w:val="006332D0"/>
    <w:rsid w:val="0063343F"/>
    <w:rsid w:val="0066493B"/>
    <w:rsid w:val="0069748E"/>
    <w:rsid w:val="006A78F7"/>
    <w:rsid w:val="006C05BF"/>
    <w:rsid w:val="006C32F1"/>
    <w:rsid w:val="006D4F17"/>
    <w:rsid w:val="006E4806"/>
    <w:rsid w:val="00703DF9"/>
    <w:rsid w:val="0070618F"/>
    <w:rsid w:val="00722FA7"/>
    <w:rsid w:val="00731555"/>
    <w:rsid w:val="00731F66"/>
    <w:rsid w:val="00742C20"/>
    <w:rsid w:val="00745A3F"/>
    <w:rsid w:val="007539BF"/>
    <w:rsid w:val="0078025A"/>
    <w:rsid w:val="00794623"/>
    <w:rsid w:val="007F38C5"/>
    <w:rsid w:val="008357F5"/>
    <w:rsid w:val="0084454A"/>
    <w:rsid w:val="00856BC9"/>
    <w:rsid w:val="00857972"/>
    <w:rsid w:val="008B0273"/>
    <w:rsid w:val="008B5C04"/>
    <w:rsid w:val="008C01BD"/>
    <w:rsid w:val="008C6E46"/>
    <w:rsid w:val="008D34B4"/>
    <w:rsid w:val="008E31CE"/>
    <w:rsid w:val="00913612"/>
    <w:rsid w:val="00996AB7"/>
    <w:rsid w:val="009E2F51"/>
    <w:rsid w:val="009E2F7A"/>
    <w:rsid w:val="009E38C0"/>
    <w:rsid w:val="00A42344"/>
    <w:rsid w:val="00A448C4"/>
    <w:rsid w:val="00A61507"/>
    <w:rsid w:val="00A817AD"/>
    <w:rsid w:val="00AC33C2"/>
    <w:rsid w:val="00AC3408"/>
    <w:rsid w:val="00AD15E5"/>
    <w:rsid w:val="00AE2908"/>
    <w:rsid w:val="00AE654A"/>
    <w:rsid w:val="00B23B31"/>
    <w:rsid w:val="00B44444"/>
    <w:rsid w:val="00B46C15"/>
    <w:rsid w:val="00B904CC"/>
    <w:rsid w:val="00BC652F"/>
    <w:rsid w:val="00BC7DAB"/>
    <w:rsid w:val="00BE2757"/>
    <w:rsid w:val="00C43444"/>
    <w:rsid w:val="00C43FBA"/>
    <w:rsid w:val="00C63F6C"/>
    <w:rsid w:val="00C863A9"/>
    <w:rsid w:val="00CA7A67"/>
    <w:rsid w:val="00CF5753"/>
    <w:rsid w:val="00D00304"/>
    <w:rsid w:val="00D06ABB"/>
    <w:rsid w:val="00D13C01"/>
    <w:rsid w:val="00D26BFA"/>
    <w:rsid w:val="00D27CD9"/>
    <w:rsid w:val="00D81A78"/>
    <w:rsid w:val="00DA1884"/>
    <w:rsid w:val="00DA4549"/>
    <w:rsid w:val="00DD7409"/>
    <w:rsid w:val="00DE7621"/>
    <w:rsid w:val="00E431BC"/>
    <w:rsid w:val="00E62C2D"/>
    <w:rsid w:val="00E71A2F"/>
    <w:rsid w:val="00E9365F"/>
    <w:rsid w:val="00EF2604"/>
    <w:rsid w:val="00F121D0"/>
    <w:rsid w:val="00F91989"/>
    <w:rsid w:val="00F93780"/>
    <w:rsid w:val="00F97544"/>
    <w:rsid w:val="00FC1734"/>
    <w:rsid w:val="00FC4A9E"/>
    <w:rsid w:val="00FC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71F46"/>
  <w15:chartTrackingRefBased/>
  <w15:docId w15:val="{4EDDAD8D-E120-4261-B932-985D96B3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B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7B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0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2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52F"/>
  </w:style>
  <w:style w:type="paragraph" w:styleId="Footer">
    <w:name w:val="footer"/>
    <w:basedOn w:val="Normal"/>
    <w:link w:val="FooterChar"/>
    <w:uiPriority w:val="99"/>
    <w:unhideWhenUsed/>
    <w:rsid w:val="00BC65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50F220A7EF5D42BB24A045850F650A" ma:contentTypeVersion="11" ma:contentTypeDescription="Kurkite naują dokumentą." ma:contentTypeScope="" ma:versionID="07003b5091e3312f5bbf2026a5667ea2">
  <xsd:schema xmlns:xsd="http://www.w3.org/2001/XMLSchema" xmlns:xs="http://www.w3.org/2001/XMLSchema" xmlns:p="http://schemas.microsoft.com/office/2006/metadata/properties" xmlns:ns3="4f6d19a3-7aab-4289-a8d5-605f2f6bdd41" xmlns:ns4="3d9c7e07-3389-4cd0-a38e-11cb62e55cc6" targetNamespace="http://schemas.microsoft.com/office/2006/metadata/properties" ma:root="true" ma:fieldsID="87906948d30f73cdf53cbef38d2429c4" ns3:_="" ns4:_="">
    <xsd:import namespace="4f6d19a3-7aab-4289-a8d5-605f2f6bdd41"/>
    <xsd:import namespace="3d9c7e07-3389-4cd0-a38e-11cb62e55c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d19a3-7aab-4289-a8d5-605f2f6b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7e07-3389-4cd0-a38e-11cb62e55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69962-8CAD-42D1-827B-B3AE09956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70ECF0-CEAE-4F11-9D0D-9433179F9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118A8-14EA-4715-A0FB-BEE75A6E4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74F2D9-2A8C-4557-996F-6E5675916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d19a3-7aab-4289-a8d5-605f2f6bdd41"/>
    <ds:schemaRef ds:uri="3d9c7e07-3389-4cd0-a38e-11cb62e55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2059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Pargalgauskaitė</dc:creator>
  <cp:keywords/>
  <dc:description/>
  <cp:lastModifiedBy>Jolanta Šipkauskienė</cp:lastModifiedBy>
  <cp:revision>2</cp:revision>
  <cp:lastPrinted>2019-12-03T13:13:00Z</cp:lastPrinted>
  <dcterms:created xsi:type="dcterms:W3CDTF">2020-12-10T09:47:00Z</dcterms:created>
  <dcterms:modified xsi:type="dcterms:W3CDTF">2020-12-10T09:47:00Z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0x0101006650F220A7EF5D42BB24A045850F650A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etDate">
    <vt:lpwstr>2020-11-27T11:59:24Z</vt:lpwstr>
  </property>
  <property fmtid="{D5CDD505-2E9C-101B-9397-08002B2CF9AE}" pid="5" name="MSIP_Label_cfcb905c-755b-4fd4-bd20-0d682d4f1d27_Method">
    <vt:lpwstr>Standard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SiteId">
    <vt:lpwstr>d91d5b65-9d38-4908-9bd1-ebc28a01cade</vt:lpwstr>
  </property>
  <property fmtid="{D5CDD505-2E9C-101B-9397-08002B2CF9AE}" pid="8" name="MSIP_Label_cfcb905c-755b-4fd4-bd20-0d682d4f1d27_ActionId">
    <vt:lpwstr>e71076e9-b046-4ad7-af0d-4dfc01bea26a</vt:lpwstr>
  </property>
  <property fmtid="{D5CDD505-2E9C-101B-9397-08002B2CF9AE}" pid="9" name="MSIP_Label_cfcb905c-755b-4fd4-bd20-0d682d4f1d27_ContentBits">
    <vt:lpwstr>0</vt:lpwstr>
  </property>
</Properties>
</file>