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5037D" w14:textId="77563207" w:rsidR="0050229E" w:rsidRPr="001D0B74" w:rsidRDefault="0050229E" w:rsidP="0050229E">
      <w:pPr>
        <w:keepNext/>
        <w:ind w:left="6480" w:hanging="526"/>
        <w:outlineLvl w:val="3"/>
        <w:rPr>
          <w:rFonts w:eastAsia="Calibri" w:cs="Tahoma"/>
          <w:color w:val="000000"/>
        </w:rPr>
      </w:pPr>
      <w:r w:rsidRPr="001D0B74">
        <w:rPr>
          <w:rFonts w:eastAsia="Calibri" w:cs="Tahoma"/>
          <w:color w:val="000000"/>
        </w:rPr>
        <w:t>20</w:t>
      </w:r>
      <w:r>
        <w:rPr>
          <w:rFonts w:eastAsia="Calibri" w:cs="Tahoma"/>
          <w:color w:val="000000"/>
        </w:rPr>
        <w:t>21</w:t>
      </w:r>
      <w:r w:rsidRPr="001D0B74">
        <w:rPr>
          <w:rFonts w:eastAsia="Calibri" w:cs="Tahoma"/>
          <w:color w:val="000000"/>
        </w:rPr>
        <w:t xml:space="preserve">  m.</w:t>
      </w:r>
      <w:r>
        <w:rPr>
          <w:rFonts w:eastAsia="Calibri" w:cs="Tahoma"/>
          <w:color w:val="000000"/>
        </w:rPr>
        <w:t xml:space="preserve"> sausio   </w:t>
      </w:r>
      <w:r w:rsidRPr="001D0B74">
        <w:rPr>
          <w:rFonts w:eastAsia="Calibri" w:cs="Tahoma"/>
          <w:color w:val="000000"/>
        </w:rPr>
        <w:t xml:space="preserve">d.  sutarties Nr. </w:t>
      </w:r>
      <w:r>
        <w:rPr>
          <w:rFonts w:eastAsia="Calibri" w:cs="Tahoma"/>
          <w:color w:val="000000"/>
        </w:rPr>
        <w:t xml:space="preserve"> </w:t>
      </w:r>
    </w:p>
    <w:p w14:paraId="7D93A341" w14:textId="79598E72" w:rsidR="0050229E" w:rsidRPr="001D0B74" w:rsidRDefault="0050229E" w:rsidP="0050229E">
      <w:pPr>
        <w:keepNext/>
        <w:ind w:left="4658" w:firstLine="1296"/>
        <w:outlineLvl w:val="3"/>
        <w:rPr>
          <w:rFonts w:eastAsia="Calibri" w:cs="Tahoma"/>
          <w:color w:val="000000"/>
        </w:rPr>
      </w:pPr>
      <w:r>
        <w:rPr>
          <w:rFonts w:eastAsia="Calibri" w:cs="Tahoma"/>
          <w:color w:val="000000"/>
        </w:rPr>
        <w:t xml:space="preserve">1 </w:t>
      </w:r>
      <w:r w:rsidRPr="001D0B74">
        <w:rPr>
          <w:rFonts w:eastAsia="Calibri" w:cs="Tahoma"/>
          <w:color w:val="000000"/>
        </w:rPr>
        <w:t>priedas</w:t>
      </w:r>
    </w:p>
    <w:p w14:paraId="1BE262B4" w14:textId="77777777" w:rsidR="0050229E" w:rsidRPr="00A9486C" w:rsidRDefault="0050229E" w:rsidP="0050229E">
      <w:pPr>
        <w:tabs>
          <w:tab w:val="left" w:pos="567"/>
        </w:tabs>
        <w:rPr>
          <w:b/>
        </w:rPr>
      </w:pPr>
    </w:p>
    <w:p w14:paraId="0A4E35F0" w14:textId="77777777" w:rsidR="0050229E" w:rsidRDefault="0050229E" w:rsidP="0050229E">
      <w:pPr>
        <w:jc w:val="center"/>
        <w:rPr>
          <w:b/>
          <w:caps/>
          <w:sz w:val="28"/>
          <w:szCs w:val="28"/>
          <w:lang w:eastAsia="lt-LT"/>
        </w:rPr>
      </w:pPr>
    </w:p>
    <w:p w14:paraId="74DE1390" w14:textId="6C72AFBD" w:rsidR="0050229E" w:rsidRDefault="0050229E" w:rsidP="0050229E">
      <w:pPr>
        <w:jc w:val="center"/>
        <w:rPr>
          <w:b/>
          <w:caps/>
          <w:sz w:val="28"/>
          <w:szCs w:val="28"/>
          <w:lang w:eastAsia="lt-LT"/>
        </w:rPr>
      </w:pPr>
      <w:r w:rsidRPr="0050229E">
        <w:rPr>
          <w:b/>
          <w:caps/>
          <w:sz w:val="28"/>
          <w:szCs w:val="28"/>
          <w:lang w:eastAsia="lt-LT"/>
        </w:rPr>
        <w:t xml:space="preserve">Lietuvos bendrosios žemės ūkio politikos po 2020 m. strateginio plano </w:t>
      </w:r>
      <w:r w:rsidRPr="00D14E35">
        <w:rPr>
          <w:b/>
          <w:i/>
          <w:iCs/>
          <w:caps/>
          <w:sz w:val="28"/>
          <w:szCs w:val="28"/>
          <w:lang w:eastAsia="lt-LT"/>
        </w:rPr>
        <w:t>ex-ante</w:t>
      </w:r>
      <w:r w:rsidRPr="0050229E">
        <w:rPr>
          <w:b/>
          <w:caps/>
          <w:sz w:val="28"/>
          <w:szCs w:val="28"/>
          <w:lang w:eastAsia="lt-LT"/>
        </w:rPr>
        <w:t xml:space="preserve"> vertinimo ir finansinių priemonių išankstinio vertinimo paslaugų pirkimo</w:t>
      </w:r>
    </w:p>
    <w:p w14:paraId="56F14AB0" w14:textId="6AC07890" w:rsidR="0050229E" w:rsidRPr="00A9486C" w:rsidRDefault="0050229E" w:rsidP="0050229E">
      <w:pPr>
        <w:jc w:val="center"/>
        <w:rPr>
          <w:b/>
          <w:caps/>
          <w:sz w:val="28"/>
          <w:szCs w:val="28"/>
          <w:lang w:eastAsia="lt-LT"/>
        </w:rPr>
      </w:pPr>
      <w:r w:rsidRPr="00A9486C">
        <w:rPr>
          <w:b/>
          <w:caps/>
          <w:sz w:val="28"/>
          <w:szCs w:val="28"/>
          <w:lang w:eastAsia="lt-LT"/>
        </w:rPr>
        <w:t>Techninė specifikacija</w:t>
      </w:r>
    </w:p>
    <w:p w14:paraId="01CB1DBB" w14:textId="77777777" w:rsidR="0050229E" w:rsidRPr="00A9486C" w:rsidRDefault="0050229E" w:rsidP="0050229E">
      <w:pPr>
        <w:rPr>
          <w:szCs w:val="24"/>
          <w:lang w:eastAsia="lt-LT"/>
        </w:rPr>
      </w:pPr>
    </w:p>
    <w:p w14:paraId="68402F9A" w14:textId="77777777" w:rsidR="0050229E" w:rsidRPr="00A9486C" w:rsidRDefault="0050229E" w:rsidP="0050229E">
      <w:pPr>
        <w:numPr>
          <w:ilvl w:val="0"/>
          <w:numId w:val="1"/>
        </w:numPr>
        <w:spacing w:before="480" w:after="200" w:line="276" w:lineRule="auto"/>
        <w:contextualSpacing/>
        <w:jc w:val="center"/>
        <w:outlineLvl w:val="0"/>
        <w:rPr>
          <w:b/>
          <w:bCs/>
          <w:szCs w:val="24"/>
          <w:lang w:eastAsia="lt-LT"/>
        </w:rPr>
      </w:pPr>
      <w:r w:rsidRPr="00A9486C">
        <w:rPr>
          <w:b/>
          <w:bCs/>
          <w:szCs w:val="24"/>
          <w:lang w:eastAsia="lt-LT"/>
        </w:rPr>
        <w:t>VERTINIMO PAGRINDIMAS</w:t>
      </w:r>
    </w:p>
    <w:p w14:paraId="016F0849" w14:textId="77777777" w:rsidR="0050229E" w:rsidRPr="00A9486C" w:rsidRDefault="0050229E" w:rsidP="0050229E">
      <w:pPr>
        <w:autoSpaceDE w:val="0"/>
        <w:autoSpaceDN w:val="0"/>
        <w:adjustRightInd w:val="0"/>
        <w:rPr>
          <w:bCs/>
          <w:szCs w:val="24"/>
          <w:lang w:eastAsia="lt-LT"/>
        </w:rPr>
      </w:pPr>
    </w:p>
    <w:p w14:paraId="1B9D7AC4" w14:textId="77777777" w:rsidR="0050229E" w:rsidRPr="00A9486C" w:rsidRDefault="0050229E" w:rsidP="0050229E">
      <w:pPr>
        <w:numPr>
          <w:ilvl w:val="0"/>
          <w:numId w:val="2"/>
        </w:numPr>
        <w:autoSpaceDE w:val="0"/>
        <w:autoSpaceDN w:val="0"/>
        <w:adjustRightInd w:val="0"/>
        <w:spacing w:after="200" w:line="276" w:lineRule="auto"/>
        <w:ind w:left="284" w:hanging="284"/>
        <w:contextualSpacing/>
        <w:rPr>
          <w:b/>
          <w:bCs/>
          <w:szCs w:val="24"/>
          <w:lang w:eastAsia="lt-LT"/>
        </w:rPr>
      </w:pPr>
      <w:r w:rsidRPr="00A9486C">
        <w:rPr>
          <w:b/>
          <w:bCs/>
          <w:szCs w:val="24"/>
          <w:lang w:eastAsia="lt-LT"/>
        </w:rPr>
        <w:t>Teisinis vertinimo pagrindas</w:t>
      </w:r>
    </w:p>
    <w:p w14:paraId="037B650F" w14:textId="77777777" w:rsidR="0050229E" w:rsidRPr="00A9486C" w:rsidRDefault="0050229E" w:rsidP="0050229E">
      <w:pPr>
        <w:autoSpaceDE w:val="0"/>
        <w:autoSpaceDN w:val="0"/>
        <w:adjustRightInd w:val="0"/>
        <w:rPr>
          <w:b/>
          <w:bCs/>
          <w:szCs w:val="24"/>
          <w:lang w:eastAsia="lt-LT"/>
        </w:rPr>
      </w:pPr>
    </w:p>
    <w:p w14:paraId="2FE0A3BD"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 xml:space="preserve">1.1 2018 m. birželio mėn. Europos Komisija (toliau – EK, Komisija) paskelbė teisės aktų pasiūlymus dėl </w:t>
      </w:r>
      <w:r w:rsidRPr="00A9486C">
        <w:rPr>
          <w:spacing w:val="2"/>
          <w:szCs w:val="24"/>
          <w:lang w:eastAsia="lt-LT"/>
        </w:rPr>
        <w:t>Bendrosios žemės ūkio politikos (BŽŪP) po 2020 m.</w:t>
      </w:r>
      <w:r w:rsidRPr="00A9486C">
        <w:rPr>
          <w:szCs w:val="24"/>
          <w:lang w:eastAsia="lt-LT"/>
        </w:rPr>
        <w:t>:</w:t>
      </w:r>
    </w:p>
    <w:p w14:paraId="57F65D17" w14:textId="77777777" w:rsidR="0050229E" w:rsidRPr="00A9486C" w:rsidRDefault="0050229E" w:rsidP="0050229E">
      <w:pPr>
        <w:numPr>
          <w:ilvl w:val="0"/>
          <w:numId w:val="3"/>
        </w:numPr>
        <w:tabs>
          <w:tab w:val="left" w:pos="426"/>
        </w:tabs>
        <w:autoSpaceDE w:val="0"/>
        <w:autoSpaceDN w:val="0"/>
        <w:adjustRightInd w:val="0"/>
        <w:spacing w:after="200" w:line="276" w:lineRule="auto"/>
        <w:contextualSpacing/>
        <w:jc w:val="both"/>
        <w:rPr>
          <w:szCs w:val="24"/>
          <w:lang w:eastAsia="lt-LT"/>
        </w:rPr>
      </w:pPr>
      <w:r w:rsidRPr="00A9486C">
        <w:rPr>
          <w:szCs w:val="24"/>
          <w:lang w:eastAsia="lt-LT"/>
        </w:rPr>
        <w:t xml:space="preserve">Pasiūlymas dėl 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 1307/2013 (toliau tekste – </w:t>
      </w:r>
      <w:r w:rsidRPr="00A9486C">
        <w:rPr>
          <w:b/>
          <w:szCs w:val="24"/>
          <w:lang w:eastAsia="lt-LT"/>
        </w:rPr>
        <w:t>Strateginių planų reglamentas, SP reglamentas, SPR</w:t>
      </w:r>
      <w:r w:rsidRPr="00A9486C">
        <w:rPr>
          <w:szCs w:val="24"/>
          <w:lang w:eastAsia="lt-LT"/>
        </w:rPr>
        <w:t>).</w:t>
      </w:r>
      <w:r w:rsidRPr="00A9486C">
        <w:rPr>
          <w:szCs w:val="24"/>
          <w:vertAlign w:val="superscript"/>
          <w:lang w:eastAsia="lt-LT"/>
        </w:rPr>
        <w:footnoteReference w:id="1"/>
      </w:r>
    </w:p>
    <w:p w14:paraId="215E323B" w14:textId="77777777" w:rsidR="0050229E" w:rsidRPr="00A9486C" w:rsidRDefault="0050229E" w:rsidP="0050229E">
      <w:pPr>
        <w:numPr>
          <w:ilvl w:val="0"/>
          <w:numId w:val="3"/>
        </w:numPr>
        <w:autoSpaceDE w:val="0"/>
        <w:autoSpaceDN w:val="0"/>
        <w:adjustRightInd w:val="0"/>
        <w:spacing w:after="200" w:line="276" w:lineRule="auto"/>
        <w:contextualSpacing/>
        <w:jc w:val="both"/>
        <w:rPr>
          <w:szCs w:val="24"/>
          <w:lang w:eastAsia="lt-LT"/>
        </w:rPr>
      </w:pPr>
      <w:r w:rsidRPr="00A9486C">
        <w:rPr>
          <w:szCs w:val="24"/>
          <w:lang w:eastAsia="lt-LT"/>
        </w:rPr>
        <w:t xml:space="preserve">Pasiūlymas dėl Europos Parlamento ir Tarybos reglamento dėl bendros žemės ūkio politikos finansavimo, valdymo ir stebėsenos, kuriuo panaikinamas Reglamentas (ES) Nr. 1306/2013 (toliau tekste – </w:t>
      </w:r>
      <w:r w:rsidRPr="00A9486C">
        <w:rPr>
          <w:b/>
          <w:szCs w:val="24"/>
          <w:lang w:eastAsia="lt-LT"/>
        </w:rPr>
        <w:t>Horizontalus reglamentas, HZR</w:t>
      </w:r>
      <w:r w:rsidRPr="00A9486C">
        <w:rPr>
          <w:szCs w:val="24"/>
          <w:lang w:eastAsia="lt-LT"/>
        </w:rPr>
        <w:t>).</w:t>
      </w:r>
      <w:r w:rsidRPr="00A9486C">
        <w:rPr>
          <w:szCs w:val="24"/>
          <w:vertAlign w:val="superscript"/>
          <w:lang w:eastAsia="lt-LT"/>
        </w:rPr>
        <w:footnoteReference w:id="2"/>
      </w:r>
    </w:p>
    <w:p w14:paraId="35B9CEC3" w14:textId="77777777" w:rsidR="0050229E" w:rsidRPr="00A9486C" w:rsidRDefault="0050229E" w:rsidP="0050229E">
      <w:pPr>
        <w:numPr>
          <w:ilvl w:val="0"/>
          <w:numId w:val="3"/>
        </w:numPr>
        <w:autoSpaceDE w:val="0"/>
        <w:autoSpaceDN w:val="0"/>
        <w:adjustRightInd w:val="0"/>
        <w:spacing w:after="200" w:line="276" w:lineRule="auto"/>
        <w:contextualSpacing/>
        <w:jc w:val="both"/>
        <w:rPr>
          <w:szCs w:val="24"/>
          <w:lang w:eastAsia="lt-LT"/>
        </w:rPr>
      </w:pPr>
      <w:r w:rsidRPr="00A9486C">
        <w:rPr>
          <w:szCs w:val="24"/>
          <w:lang w:eastAsia="lt-LT"/>
        </w:rPr>
        <w:t xml:space="preserve">Pasiūlymas dėl Europos Parlamento ir Tarybos reglamento, kuriuo iš dalies keičiami reglamentai (ES) Nr. 1308/2013, kuriuo nustatomas bendras žemės ūkio produktų rinkų organizavimas, (ES) Nr. 1151/2012 dėl žemės ūkio ir maisto produktų kokybės sistemų, (ES) Nr. 251/2014 dėl aromatizuotų vyno produktų apibrėžties, aprašymo, pateikimo, ženklinimo ir geografinių nuorodų apsaugos, (ES) Nr. 228/2013, kuriuo nustatomos specialios žemės ūkio priemonės atokiausiems Sąjungos regionams, ir (ES) Nr. 229/2013, kuriuo nustatomos specialios žemės ūkio priemonės mažosioms Egėjo jūros saloms (toliau tekste – </w:t>
      </w:r>
      <w:r w:rsidRPr="00A9486C">
        <w:rPr>
          <w:b/>
          <w:szCs w:val="24"/>
          <w:lang w:eastAsia="lt-LT"/>
        </w:rPr>
        <w:t>BRO reglamentas</w:t>
      </w:r>
      <w:r w:rsidRPr="00A9486C">
        <w:rPr>
          <w:szCs w:val="24"/>
          <w:lang w:eastAsia="lt-LT"/>
        </w:rPr>
        <w:t>).</w:t>
      </w:r>
      <w:r w:rsidRPr="00A9486C">
        <w:rPr>
          <w:szCs w:val="24"/>
          <w:vertAlign w:val="superscript"/>
          <w:lang w:eastAsia="lt-LT"/>
        </w:rPr>
        <w:footnoteReference w:id="3"/>
      </w:r>
    </w:p>
    <w:p w14:paraId="343DD3B3" w14:textId="77777777" w:rsidR="0050229E" w:rsidRPr="00A9486C" w:rsidRDefault="0050229E" w:rsidP="0050229E">
      <w:pPr>
        <w:autoSpaceDE w:val="0"/>
        <w:autoSpaceDN w:val="0"/>
        <w:adjustRightInd w:val="0"/>
        <w:jc w:val="both"/>
        <w:rPr>
          <w:szCs w:val="24"/>
          <w:lang w:eastAsia="lt-LT"/>
        </w:rPr>
      </w:pPr>
      <w:r w:rsidRPr="00A9486C">
        <w:rPr>
          <w:szCs w:val="24"/>
          <w:lang w:eastAsia="lt-LT"/>
        </w:rPr>
        <w:t xml:space="preserve">Tam tikros BŽŪP nuostatos naujuoju laikotarpiu bus įgyvendinamos vadovaujantis </w:t>
      </w:r>
      <w:r w:rsidRPr="00A9486C">
        <w:rPr>
          <w:b/>
          <w:bCs/>
          <w:szCs w:val="24"/>
          <w:lang w:eastAsia="lt-LT"/>
        </w:rPr>
        <w:t>Bendrųjų nuostatų reglamentu (</w:t>
      </w:r>
      <w:r w:rsidRPr="00A9486C">
        <w:rPr>
          <w:szCs w:val="24"/>
          <w:lang w:eastAsia="lt-LT"/>
        </w:rPr>
        <w:t>toliau tekste</w:t>
      </w:r>
      <w:r w:rsidRPr="00A9486C">
        <w:rPr>
          <w:b/>
          <w:bCs/>
          <w:szCs w:val="24"/>
          <w:lang w:eastAsia="lt-LT"/>
        </w:rPr>
        <w:t xml:space="preserve"> – BNR)</w:t>
      </w:r>
      <w:r w:rsidRPr="00A9486C">
        <w:rPr>
          <w:szCs w:val="24"/>
          <w:lang w:eastAsia="lt-LT"/>
        </w:rPr>
        <w:t>:</w:t>
      </w:r>
    </w:p>
    <w:p w14:paraId="42EF5118" w14:textId="77777777" w:rsidR="0050229E" w:rsidRPr="007D089D" w:rsidRDefault="0050229E" w:rsidP="0050229E">
      <w:pPr>
        <w:numPr>
          <w:ilvl w:val="0"/>
          <w:numId w:val="6"/>
        </w:numPr>
        <w:shd w:val="clear" w:color="auto" w:fill="FFFFFF"/>
        <w:spacing w:after="200" w:line="276" w:lineRule="auto"/>
        <w:jc w:val="both"/>
        <w:rPr>
          <w:szCs w:val="24"/>
          <w:lang w:eastAsia="lt-LT"/>
        </w:rPr>
      </w:pPr>
      <w:r w:rsidRPr="007D089D">
        <w:rPr>
          <w:szCs w:val="24"/>
          <w:lang w:eastAsia="lt-LT"/>
        </w:rPr>
        <w:t>Pasiūlymas dėl Europos Parlamento ir Tarybos reglamento,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w:t>
      </w:r>
      <w:r w:rsidRPr="00A9486C">
        <w:rPr>
          <w:szCs w:val="24"/>
          <w:vertAlign w:val="superscript"/>
          <w:lang w:val="en" w:eastAsia="lt-LT"/>
        </w:rPr>
        <w:footnoteReference w:id="4"/>
      </w:r>
    </w:p>
    <w:p w14:paraId="7206E21A" w14:textId="77777777" w:rsidR="0050229E" w:rsidRPr="00A9486C" w:rsidRDefault="0050229E" w:rsidP="0050229E">
      <w:pPr>
        <w:autoSpaceDE w:val="0"/>
        <w:autoSpaceDN w:val="0"/>
        <w:adjustRightInd w:val="0"/>
        <w:ind w:left="360"/>
        <w:jc w:val="both"/>
        <w:rPr>
          <w:szCs w:val="24"/>
          <w:lang w:eastAsia="lt-LT"/>
        </w:rPr>
      </w:pPr>
    </w:p>
    <w:p w14:paraId="0D1CFE3A" w14:textId="77777777" w:rsidR="0050229E" w:rsidRPr="00A9486C" w:rsidRDefault="0050229E" w:rsidP="0050229E">
      <w:pPr>
        <w:autoSpaceDE w:val="0"/>
        <w:autoSpaceDN w:val="0"/>
        <w:adjustRightInd w:val="0"/>
        <w:jc w:val="both"/>
        <w:rPr>
          <w:szCs w:val="24"/>
          <w:lang w:eastAsia="lt-LT"/>
        </w:rPr>
      </w:pPr>
      <w:r w:rsidRPr="00A9486C">
        <w:rPr>
          <w:szCs w:val="24"/>
          <w:lang w:eastAsia="lt-LT"/>
        </w:rPr>
        <w:t xml:space="preserve"> 1.2 Įpareigojimas valstybėms narėms atlikti savo strateginio plano </w:t>
      </w:r>
      <w:proofErr w:type="spellStart"/>
      <w:r w:rsidRPr="00A9486C">
        <w:rPr>
          <w:szCs w:val="24"/>
          <w:lang w:eastAsia="lt-LT"/>
        </w:rPr>
        <w:t>ex</w:t>
      </w:r>
      <w:proofErr w:type="spellEnd"/>
      <w:r w:rsidRPr="00A9486C">
        <w:rPr>
          <w:szCs w:val="24"/>
          <w:lang w:eastAsia="lt-LT"/>
        </w:rPr>
        <w:t xml:space="preserve">-ante vertinimą (toliau – SP </w:t>
      </w:r>
      <w:proofErr w:type="spellStart"/>
      <w:r w:rsidRPr="00A9486C">
        <w:rPr>
          <w:szCs w:val="24"/>
          <w:lang w:eastAsia="lt-LT"/>
        </w:rPr>
        <w:t>ex</w:t>
      </w:r>
      <w:proofErr w:type="spellEnd"/>
      <w:r w:rsidRPr="00A9486C">
        <w:rPr>
          <w:szCs w:val="24"/>
          <w:lang w:eastAsia="lt-LT"/>
        </w:rPr>
        <w:t xml:space="preserve"> ante), taip pat šio vertinimo turinys nustatyti SPR 95 str. 2 d. a punkte ir 125 str. </w:t>
      </w:r>
    </w:p>
    <w:p w14:paraId="2C51B76F"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 xml:space="preserve">1.3 2001 m. birželio 27 d. Europos Parlamento ir Tarybos direktyva 2001/42/EB „Dėl tam tikrų planų ir programų pasekmių aplinkai vertinimo“ ir Lietuvos Respublikos Vyriausybės 2004 m. rugpjūčio 18 d. nutarimas Nr. 967 „Dėl planų ir programų strateginio pasekmių aplinkai vertinimo tvarkos </w:t>
      </w:r>
      <w:r w:rsidRPr="00A9486C">
        <w:rPr>
          <w:szCs w:val="24"/>
          <w:lang w:eastAsia="lt-LT"/>
        </w:rPr>
        <w:lastRenderedPageBreak/>
        <w:t>aprašo patvirtinimo“</w:t>
      </w:r>
      <w:r w:rsidRPr="00A9486C">
        <w:rPr>
          <w:szCs w:val="24"/>
          <w:vertAlign w:val="superscript"/>
          <w:lang w:eastAsia="lt-LT"/>
        </w:rPr>
        <w:footnoteReference w:id="5"/>
      </w:r>
      <w:r w:rsidRPr="00A9486C">
        <w:rPr>
          <w:szCs w:val="24"/>
          <w:lang w:eastAsia="lt-LT"/>
        </w:rPr>
        <w:t xml:space="preserve"> apibrėžia privalomas planų ir programų strateginio pasekmių aplinkai vertinimo (toliau – SPAV) nuostatas.</w:t>
      </w:r>
    </w:p>
    <w:p w14:paraId="55F6F849"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1.4 SPR 110 str. 2 d. d) punkte atsakomybė už išankstinio vertinimo parengimą ir pateikimą Europos Komisijai priskirta vadovaujančiajai institucijai.</w:t>
      </w:r>
    </w:p>
    <w:p w14:paraId="7E9FF5FC"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 xml:space="preserve">1.5 BNR 52 str. numato, kad norint fondų paramą skirti </w:t>
      </w:r>
      <w:r w:rsidRPr="007D089D">
        <w:rPr>
          <w:szCs w:val="24"/>
          <w:lang w:eastAsia="lt-LT"/>
        </w:rPr>
        <w:t xml:space="preserve">naudojant finansines priemones, būtina atlikti šių priemonių </w:t>
      </w:r>
      <w:proofErr w:type="spellStart"/>
      <w:r w:rsidRPr="007D089D">
        <w:rPr>
          <w:szCs w:val="24"/>
          <w:lang w:eastAsia="lt-LT"/>
        </w:rPr>
        <w:t>ex</w:t>
      </w:r>
      <w:proofErr w:type="spellEnd"/>
      <w:r w:rsidRPr="007D089D">
        <w:rPr>
          <w:szCs w:val="24"/>
          <w:lang w:eastAsia="lt-LT"/>
        </w:rPr>
        <w:t xml:space="preserve"> ante vertinimą, už kurio parengimą atsakinga vadovaujančioji institucija.</w:t>
      </w:r>
    </w:p>
    <w:p w14:paraId="59ACD336"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1.6 Lietuvos Respublikos žemės ūkio ministerijos (toliau – Ministerija, ŽŪM) nuostatų, patvirtintų Lietuvos Respublikos Vyriausybės 1998 m. rugsėjo 15 d. nutarimu Nr. 1120</w:t>
      </w:r>
      <w:r w:rsidRPr="00A9486C">
        <w:rPr>
          <w:szCs w:val="24"/>
          <w:vertAlign w:val="superscript"/>
          <w:lang w:eastAsia="lt-LT"/>
        </w:rPr>
        <w:footnoteReference w:id="6"/>
      </w:r>
      <w:r w:rsidRPr="00A9486C">
        <w:rPr>
          <w:szCs w:val="24"/>
          <w:lang w:eastAsia="lt-LT"/>
        </w:rPr>
        <w:t>, 8.2 papunktyje nurodoma Ministerijos atsakomybė administruojant EŽŪFKP ir EŽŪGF.</w:t>
      </w:r>
    </w:p>
    <w:p w14:paraId="562F9276" w14:textId="77777777" w:rsidR="0050229E" w:rsidRPr="00A9486C" w:rsidRDefault="0050229E" w:rsidP="0050229E">
      <w:pPr>
        <w:autoSpaceDE w:val="0"/>
        <w:autoSpaceDN w:val="0"/>
        <w:adjustRightInd w:val="0"/>
        <w:jc w:val="both"/>
        <w:rPr>
          <w:szCs w:val="24"/>
          <w:lang w:eastAsia="lt-LT"/>
        </w:rPr>
      </w:pPr>
    </w:p>
    <w:p w14:paraId="7A129C85" w14:textId="77777777" w:rsidR="0050229E" w:rsidRPr="00A9486C" w:rsidRDefault="0050229E" w:rsidP="0050229E">
      <w:pPr>
        <w:numPr>
          <w:ilvl w:val="0"/>
          <w:numId w:val="2"/>
        </w:numPr>
        <w:autoSpaceDE w:val="0"/>
        <w:autoSpaceDN w:val="0"/>
        <w:adjustRightInd w:val="0"/>
        <w:spacing w:after="200" w:line="276" w:lineRule="auto"/>
        <w:ind w:left="284" w:hanging="284"/>
        <w:contextualSpacing/>
        <w:rPr>
          <w:b/>
          <w:bCs/>
          <w:szCs w:val="24"/>
          <w:lang w:eastAsia="lt-LT"/>
        </w:rPr>
      </w:pPr>
      <w:r w:rsidRPr="00A9486C">
        <w:rPr>
          <w:b/>
          <w:bCs/>
          <w:szCs w:val="24"/>
          <w:lang w:eastAsia="lt-LT"/>
        </w:rPr>
        <w:t>Vertinimo kontekstas</w:t>
      </w:r>
    </w:p>
    <w:p w14:paraId="370B8A7C" w14:textId="77777777" w:rsidR="0050229E" w:rsidRPr="00A9486C" w:rsidRDefault="0050229E" w:rsidP="0050229E">
      <w:pPr>
        <w:jc w:val="both"/>
        <w:rPr>
          <w:szCs w:val="24"/>
          <w:lang w:eastAsia="lt-LT"/>
        </w:rPr>
      </w:pPr>
      <w:r w:rsidRPr="00A9486C">
        <w:rPr>
          <w:szCs w:val="24"/>
          <w:lang w:eastAsia="lt-LT"/>
        </w:rPr>
        <w:t>2018 m. birželio mėn. pateiktuose dokumentuose dėl BŽŪP ateities po 2020 m. EK pasiūlė reikšmingų naujovių – nuo naujai formuluojamų iššūkių, tikslų ir dar aiškesnio orientavimosi į rezultatus iki pokyčių įgyvendinime ir administravime.</w:t>
      </w:r>
    </w:p>
    <w:p w14:paraId="50CC8DBD" w14:textId="77777777" w:rsidR="0050229E" w:rsidRPr="00A9486C" w:rsidRDefault="0050229E" w:rsidP="0050229E">
      <w:pPr>
        <w:jc w:val="both"/>
        <w:rPr>
          <w:lang w:eastAsia="lt-LT" w:bidi="lt-LT"/>
        </w:rPr>
      </w:pPr>
      <w:r w:rsidRPr="00A9486C">
        <w:rPr>
          <w:lang w:eastAsia="lt-LT" w:bidi="lt-LT"/>
        </w:rPr>
        <w:t>Buvo priimtas Komunikatas dėl daugiametės finansinės programos (DFP)</w:t>
      </w:r>
      <w:r w:rsidRPr="00A9486C">
        <w:rPr>
          <w:vertAlign w:val="superscript"/>
          <w:lang w:eastAsia="lt-LT" w:bidi="lt-LT"/>
        </w:rPr>
        <w:footnoteReference w:id="7"/>
      </w:r>
      <w:r w:rsidRPr="00A9486C">
        <w:rPr>
          <w:lang w:eastAsia="lt-LT" w:bidi="lt-LT"/>
        </w:rPr>
        <w:t>, kur nurodoma, kad modernizuota bendra žemės ūkio politika turės padėti pereiti prie tvaraus žemės ūkio sektoriaus, kurti gyvybingas kaimo vietoves ir daugiau kaip 500 mln. vartotojų patikimai aprūpinti saugiais ir kokybiškais maisto produktais. Pažangus, atsparus, tvarus ir konkurencingas žemės ūkio sektorius – tai, ko reikia Europai, kad piliečiams būtų gaminami saugūs, kokybiški, įperkami, maistingi ir įvairūs maisto produktai, o kaimo vietovėse vyrautų tvirta socialinė ir ekonominė struktūra. Modernizuotos bendros žemės ūkio politikos Europos pridėtinė vertė turi būti dar didesnė – joje turi būti išreikšti didesni aplinkos ir klimato sričių užmojai ir ji turi pateisinti su sveikata, aplinka ir klimatu susijusius piliečių lūkesčius.</w:t>
      </w:r>
    </w:p>
    <w:p w14:paraId="52666B91" w14:textId="77777777" w:rsidR="0050229E" w:rsidRPr="00A9486C" w:rsidRDefault="0050229E" w:rsidP="0050229E">
      <w:pPr>
        <w:spacing w:after="200" w:line="276" w:lineRule="auto"/>
        <w:jc w:val="both"/>
        <w:rPr>
          <w:noProof/>
          <w:szCs w:val="24"/>
          <w:lang w:eastAsia="lt-LT"/>
        </w:rPr>
      </w:pPr>
      <w:r w:rsidRPr="00A9486C">
        <w:rPr>
          <w:noProof/>
          <w:szCs w:val="24"/>
          <w:lang w:eastAsia="lt-LT"/>
        </w:rPr>
        <w:t xml:space="preserve">Visų pirma, EK kaip pagrindinius BŽŪP prioritetus po 2020 m. nurodė didesnio užmojo veiksmus aplinkos ir klimato srityse, tikslingesnį paramos skyrimą ir siekį daugiau naudotis vertinga mokslinių tyrimų, inovacijų ir konsultacijų sąsaja. Ji taip pat pasiūlė, siekiant gerinti BŽŪP rezultatus, sukurti </w:t>
      </w:r>
      <w:r w:rsidRPr="00A9486C">
        <w:rPr>
          <w:b/>
          <w:noProof/>
          <w:szCs w:val="24"/>
          <w:lang w:eastAsia="lt-LT"/>
        </w:rPr>
        <w:t xml:space="preserve">naująjį </w:t>
      </w:r>
      <w:r w:rsidRPr="00A9486C">
        <w:rPr>
          <w:noProof/>
          <w:szCs w:val="24"/>
          <w:lang w:eastAsia="lt-LT"/>
        </w:rPr>
        <w:t>jos</w:t>
      </w:r>
      <w:r w:rsidRPr="00A9486C">
        <w:rPr>
          <w:b/>
          <w:noProof/>
          <w:szCs w:val="24"/>
          <w:lang w:eastAsia="lt-LT"/>
        </w:rPr>
        <w:t xml:space="preserve"> įgyvendinimo modelį</w:t>
      </w:r>
      <w:r w:rsidRPr="00A9486C">
        <w:rPr>
          <w:noProof/>
          <w:szCs w:val="24"/>
          <w:lang w:eastAsia="lt-LT"/>
        </w:rPr>
        <w:t xml:space="preserve"> (angl. – </w:t>
      </w:r>
      <w:r w:rsidRPr="00A9486C">
        <w:rPr>
          <w:i/>
          <w:noProof/>
          <w:szCs w:val="24"/>
          <w:lang w:eastAsia="lt-LT"/>
        </w:rPr>
        <w:t>New delivery model</w:t>
      </w:r>
      <w:r w:rsidRPr="00A9486C">
        <w:rPr>
          <w:noProof/>
          <w:szCs w:val="24"/>
          <w:lang w:eastAsia="lt-LT"/>
        </w:rPr>
        <w:t xml:space="preserve">) – labiau perkelti politikos dėmesį nuo reikalavimų laikymosi prie veiklos rezultatų ir darniau perskirstyti ES ir valstybių narių atsakomybę, didinant subsidiarumą. Pereinant prie naujojo modelio, tikimasi geriau pasiekti ES tikslus remiantis strateginiu planavimu, plataus masto politikos intervencinėmis priemonėmis ir bendrais veiklos rezultatų rodikliais, taip padidinant būsimos BŽŪP nuoseklumą ir šios politikos suderinimą su kitų ES tikslų siekimu. </w:t>
      </w:r>
    </w:p>
    <w:p w14:paraId="3E3986B2" w14:textId="77777777" w:rsidR="0050229E" w:rsidRPr="00A9486C" w:rsidRDefault="0050229E" w:rsidP="0050229E">
      <w:pPr>
        <w:spacing w:after="200" w:line="276" w:lineRule="auto"/>
        <w:jc w:val="both"/>
        <w:rPr>
          <w:noProof/>
          <w:szCs w:val="24"/>
          <w:lang w:eastAsia="lt-LT"/>
        </w:rPr>
      </w:pPr>
      <w:r w:rsidRPr="00A9486C">
        <w:rPr>
          <w:noProof/>
          <w:szCs w:val="24"/>
          <w:lang w:eastAsia="lt-LT"/>
        </w:rPr>
        <w:t xml:space="preserve">Siekiant toliau gerinti darnią žemės ūkio, maisto sektoriaus ir kaimo vietovių plėtrą, </w:t>
      </w:r>
      <w:r w:rsidRPr="00A9486C">
        <w:rPr>
          <w:b/>
          <w:noProof/>
          <w:szCs w:val="24"/>
          <w:lang w:eastAsia="lt-LT"/>
        </w:rPr>
        <w:t xml:space="preserve">BŽŪP </w:t>
      </w:r>
      <w:r w:rsidRPr="00A9486C">
        <w:rPr>
          <w:b/>
          <w:szCs w:val="24"/>
          <w:lang w:eastAsia="lt-LT"/>
        </w:rPr>
        <w:t>bendrieji</w:t>
      </w:r>
      <w:r w:rsidRPr="00A9486C">
        <w:rPr>
          <w:b/>
          <w:noProof/>
          <w:szCs w:val="24"/>
          <w:lang w:eastAsia="lt-LT"/>
        </w:rPr>
        <w:t xml:space="preserve"> tikslai</w:t>
      </w:r>
      <w:r w:rsidRPr="00A9486C">
        <w:rPr>
          <w:noProof/>
          <w:szCs w:val="24"/>
          <w:lang w:eastAsia="lt-LT"/>
        </w:rPr>
        <w:t xml:space="preserve"> siejami su ūkių ekonominiu gyvybingumu, atsparumu ir pajamomis, geresniais aplinkos ir klimato sričių veiklos rezultatais ir tvirtesne socialine bei ekonomine kaimo vietovių struktūra. Šiuos tikslus papildo </w:t>
      </w:r>
      <w:r w:rsidRPr="00A9486C">
        <w:rPr>
          <w:b/>
          <w:bCs/>
          <w:noProof/>
          <w:szCs w:val="24"/>
          <w:lang w:eastAsia="lt-LT"/>
        </w:rPr>
        <w:t>kompleksinis tikslas</w:t>
      </w:r>
      <w:r w:rsidRPr="00A9486C">
        <w:rPr>
          <w:noProof/>
          <w:szCs w:val="24"/>
          <w:lang w:eastAsia="lt-LT"/>
        </w:rPr>
        <w:t xml:space="preserve"> – skatinti didinti žemės ūkio ir kaimo vietovių žinias, inovacijas ir skaitmeninimą.</w:t>
      </w:r>
    </w:p>
    <w:p w14:paraId="3FF13F85" w14:textId="77777777" w:rsidR="0050229E" w:rsidRPr="00A9486C" w:rsidRDefault="0050229E" w:rsidP="0050229E">
      <w:pPr>
        <w:pBdr>
          <w:top w:val="nil"/>
          <w:left w:val="nil"/>
          <w:bottom w:val="nil"/>
          <w:right w:val="nil"/>
          <w:between w:val="nil"/>
          <w:bar w:val="nil"/>
        </w:pBdr>
        <w:spacing w:after="240" w:line="276" w:lineRule="auto"/>
        <w:rPr>
          <w:noProof/>
          <w:szCs w:val="24"/>
          <w:lang w:eastAsia="lt-LT"/>
        </w:rPr>
      </w:pPr>
      <w:r w:rsidRPr="00A9486C">
        <w:rPr>
          <w:noProof/>
          <w:szCs w:val="24"/>
          <w:lang w:eastAsia="lt-LT"/>
        </w:rPr>
        <w:t xml:space="preserve">Naująja </w:t>
      </w:r>
      <w:r w:rsidRPr="00A9486C">
        <w:rPr>
          <w:b/>
          <w:noProof/>
          <w:szCs w:val="24"/>
          <w:lang w:eastAsia="lt-LT"/>
        </w:rPr>
        <w:t>BŽŪP</w:t>
      </w:r>
      <w:r w:rsidRPr="00A9486C">
        <w:rPr>
          <w:noProof/>
          <w:szCs w:val="24"/>
          <w:lang w:eastAsia="lt-LT"/>
        </w:rPr>
        <w:t xml:space="preserve"> bus siekiama šių devynių </w:t>
      </w:r>
      <w:r w:rsidRPr="00A9486C">
        <w:rPr>
          <w:b/>
          <w:szCs w:val="24"/>
          <w:lang w:eastAsia="lt-LT"/>
        </w:rPr>
        <w:t>konkrečių</w:t>
      </w:r>
      <w:r w:rsidRPr="00A9486C">
        <w:rPr>
          <w:b/>
          <w:noProof/>
          <w:szCs w:val="24"/>
          <w:lang w:eastAsia="lt-LT"/>
        </w:rPr>
        <w:t xml:space="preserve"> tikslų</w:t>
      </w:r>
      <w:r w:rsidRPr="00A9486C">
        <w:rPr>
          <w:noProof/>
          <w:szCs w:val="24"/>
          <w:lang w:eastAsia="lt-LT"/>
        </w:rPr>
        <w:t>:</w:t>
      </w:r>
    </w:p>
    <w:p w14:paraId="251E9787"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rPr>
        <w:t>remti perspektyvias ūkio pajamas bei ūkių atsparumą visoje ES teritorijoje ir taip užtikrinti geresnį aprūpinimą maistu;</w:t>
      </w:r>
    </w:p>
    <w:p w14:paraId="21A7D117"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labiau orientuotis į rinką ir didinti konkurencingumą, be kita ko, daugiau dėmesio skiriant moksliniams tyrimams, technologijoms ir skaitmeninimui;</w:t>
      </w:r>
    </w:p>
    <w:p w14:paraId="3E0D17ED"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gerinti ūkininkų padėtį vertės grandinėje;</w:t>
      </w:r>
    </w:p>
    <w:p w14:paraId="175BBE42"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lastRenderedPageBreak/>
        <w:t>padėti švelninti klimato kaitą bei prisitaikyti prie jos ir plėtoti darniąją energetiką;</w:t>
      </w:r>
    </w:p>
    <w:p w14:paraId="359EB7AE"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skatinti darnųjį vystymąsi ir veiksmingą gamtos išteklių, tokių kaip vanduo, dirvožemis ir oras, valdymą;</w:t>
      </w:r>
    </w:p>
    <w:p w14:paraId="24F94F8D"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 xml:space="preserve">padėti apsaugoti biologinę įvairovę, gerinti ekosistemines paslaugas ir išsaugoti buveines bei kraštovaizdžius; </w:t>
      </w:r>
    </w:p>
    <w:p w14:paraId="0B6D96B0"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pritraukti jaunuosius ūkininkus ir sudaryti palankesnes sąlygas verslo plėtrai kaimo vietovėse;</w:t>
      </w:r>
    </w:p>
    <w:p w14:paraId="063A95D6"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skatinti užimtumą, augimą, socialinę įtrauktį ir vietos plėtrą kaimo vietovėse, įskaitant bioekonomikos ir darnaus miškų ūkio sektorius;</w:t>
      </w:r>
    </w:p>
    <w:p w14:paraId="1092F98D" w14:textId="77777777" w:rsidR="0050229E" w:rsidRPr="00A9486C" w:rsidRDefault="0050229E" w:rsidP="0050229E">
      <w:pPr>
        <w:numPr>
          <w:ilvl w:val="1"/>
          <w:numId w:val="5"/>
        </w:numPr>
        <w:spacing w:before="120" w:after="120" w:line="276" w:lineRule="auto"/>
        <w:ind w:left="851" w:hanging="851"/>
        <w:contextualSpacing/>
        <w:jc w:val="both"/>
        <w:rPr>
          <w:noProof/>
          <w:szCs w:val="24"/>
          <w:lang w:eastAsia="lt-LT" w:bidi="lt-LT"/>
        </w:rPr>
      </w:pPr>
      <w:r w:rsidRPr="00A9486C">
        <w:rPr>
          <w:noProof/>
          <w:szCs w:val="24"/>
          <w:lang w:eastAsia="lt-LT" w:bidi="lt-LT"/>
        </w:rPr>
        <w:t xml:space="preserve">siekti, kad ES žemės ūkio sektorius labiau atitiktų visuomenės poreikius, susijusius su maistu bei sveikatos priežiūra (įskaitant saugius, maistingus ir tvarius maisto produktus) ir gyvūnų gerove. </w:t>
      </w:r>
    </w:p>
    <w:p w14:paraId="717C62A6" w14:textId="77777777" w:rsidR="0050229E" w:rsidRPr="00A9486C" w:rsidRDefault="0050229E" w:rsidP="0050229E">
      <w:pPr>
        <w:spacing w:before="120" w:after="120"/>
        <w:ind w:left="850"/>
        <w:jc w:val="both"/>
        <w:rPr>
          <w:noProof/>
          <w:szCs w:val="24"/>
          <w:lang w:eastAsia="lt-LT" w:bidi="lt-LT"/>
        </w:rPr>
      </w:pPr>
    </w:p>
    <w:p w14:paraId="4BE15EA2" w14:textId="77777777" w:rsidR="0050229E" w:rsidRPr="00A9486C" w:rsidRDefault="0050229E" w:rsidP="0050229E">
      <w:pPr>
        <w:spacing w:after="200" w:line="276" w:lineRule="auto"/>
        <w:jc w:val="both"/>
        <w:rPr>
          <w:noProof/>
          <w:szCs w:val="24"/>
          <w:lang w:eastAsia="lt-LT"/>
        </w:rPr>
      </w:pPr>
      <w:r w:rsidRPr="00A9486C">
        <w:rPr>
          <w:noProof/>
          <w:szCs w:val="24"/>
          <w:lang w:eastAsia="lt-LT"/>
        </w:rPr>
        <w:t>Siekdamos aukščiau įvardytų tikslų, valstybės narės turėtų užtikrinti, kad paramos pagal BŽŪP teikimo tvarka būtų paprastesnė ir kad ta parama būtų veiksminga. Jos planuos tokias intervencines priemones, kokios bus tinkamos jų aplinkybėmis, remdamosi šiame reglamente nurodytomis intervencinių priemonių rūšimis. Valstybės narės turės skirti ypač daug dėmesio konkretiems aplinkos ir klimato tikslams, kartų kaitai ir politikos įgyvendinimo modernizavimui, dėdamos pastangas, kad būtų geriau naudojamasi žiniomis, konsultacijomis ir naujomis (skaitmeninėmis) technologijomis.</w:t>
      </w:r>
    </w:p>
    <w:p w14:paraId="1FF84F16" w14:textId="77777777" w:rsidR="0050229E" w:rsidRPr="00A9486C" w:rsidRDefault="0050229E" w:rsidP="0050229E">
      <w:pPr>
        <w:spacing w:after="200" w:line="276" w:lineRule="auto"/>
        <w:jc w:val="both"/>
        <w:rPr>
          <w:noProof/>
          <w:szCs w:val="24"/>
          <w:lang w:eastAsia="lt-LT"/>
        </w:rPr>
      </w:pPr>
      <w:r w:rsidRPr="00A9486C">
        <w:rPr>
          <w:noProof/>
          <w:szCs w:val="24"/>
          <w:lang w:eastAsia="lt-LT"/>
        </w:rPr>
        <w:t xml:space="preserve">2019 m. gruodžio mėn. naujos sudėties Europos Komisija pristatė </w:t>
      </w:r>
      <w:r w:rsidRPr="00A9486C">
        <w:rPr>
          <w:b/>
          <w:bCs/>
          <w:noProof/>
          <w:szCs w:val="24"/>
          <w:lang w:eastAsia="lt-LT"/>
        </w:rPr>
        <w:t>Europos žaliąjį kursą</w:t>
      </w:r>
      <w:r w:rsidRPr="00A9486C">
        <w:rPr>
          <w:noProof/>
          <w:szCs w:val="24"/>
          <w:lang w:eastAsia="lt-LT"/>
        </w:rPr>
        <w:t xml:space="preserve"> (ang. </w:t>
      </w:r>
      <w:r w:rsidRPr="00A9486C">
        <w:rPr>
          <w:i/>
          <w:iCs/>
          <w:noProof/>
          <w:szCs w:val="24"/>
          <w:lang w:eastAsia="lt-LT"/>
        </w:rPr>
        <w:t>Green Deal</w:t>
      </w:r>
      <w:r w:rsidRPr="00A9486C">
        <w:rPr>
          <w:noProof/>
          <w:szCs w:val="24"/>
          <w:lang w:eastAsia="lt-LT"/>
        </w:rPr>
        <w:t>)</w:t>
      </w:r>
      <w:r w:rsidRPr="00A9486C">
        <w:rPr>
          <w:noProof/>
          <w:szCs w:val="24"/>
          <w:vertAlign w:val="superscript"/>
          <w:lang w:eastAsia="lt-LT"/>
        </w:rPr>
        <w:footnoteReference w:id="8"/>
      </w:r>
      <w:r w:rsidRPr="00A9486C">
        <w:rPr>
          <w:noProof/>
          <w:szCs w:val="24"/>
          <w:lang w:eastAsia="lt-LT"/>
        </w:rPr>
        <w:t xml:space="preserve">, o 2020 m. gegužės mėn. – Bioįvairovės strategiją ir „Nuo ūkio iki stalo“ (angl. </w:t>
      </w:r>
      <w:r w:rsidRPr="00A9486C">
        <w:rPr>
          <w:i/>
          <w:iCs/>
          <w:noProof/>
          <w:szCs w:val="24"/>
          <w:lang w:eastAsia="lt-LT"/>
        </w:rPr>
        <w:t>Farm to Fork</w:t>
      </w:r>
      <w:r w:rsidRPr="00A9486C">
        <w:rPr>
          <w:noProof/>
          <w:szCs w:val="24"/>
          <w:lang w:eastAsia="lt-LT"/>
        </w:rPr>
        <w:t>) strategiją</w:t>
      </w:r>
      <w:r w:rsidRPr="00A9486C">
        <w:rPr>
          <w:noProof/>
          <w:szCs w:val="24"/>
          <w:vertAlign w:val="superscript"/>
          <w:lang w:eastAsia="lt-LT"/>
        </w:rPr>
        <w:footnoteReference w:id="9"/>
      </w:r>
      <w:r w:rsidRPr="00A9486C">
        <w:rPr>
          <w:noProof/>
          <w:szCs w:val="24"/>
          <w:lang w:eastAsia="lt-LT"/>
        </w:rPr>
        <w:t xml:space="preserve"> – ambicingas veiksmų gaires, kuriomis siekiama skatinti veiksmingą išteklių naudojimą pereinant prie švarios žiedinės ekonomikos, atkurti biologinę įvairovę ir sumažinti taršą. Tolimesni su šių gairių įgyvendinimu susiję konkretūs veiksmai, numatyti 2020-2021 metams, tikėtina, turės didelės įtakos ir būsimojo programinio laikotarpio BŽŪP reglamentuosiančių teisės aktų turiniui, ir valstybių narių rengiamiems BŽŪP strateginiams planams – Europos Komisija vertins valstybių narių rengiamus BŽŪP strateginius planus ir sieks užtikrinti, jog jie būtų pilnai suderinti su šiomis strategijomis ir jose keliamais tikslais.</w:t>
      </w:r>
    </w:p>
    <w:p w14:paraId="13FEB77E" w14:textId="77777777" w:rsidR="0050229E" w:rsidRPr="00A9486C" w:rsidRDefault="0050229E" w:rsidP="0050229E">
      <w:pPr>
        <w:spacing w:after="200" w:line="276" w:lineRule="auto"/>
        <w:jc w:val="both"/>
        <w:rPr>
          <w:noProof/>
          <w:szCs w:val="24"/>
          <w:lang w:eastAsia="lt-LT"/>
        </w:rPr>
      </w:pPr>
      <w:r w:rsidRPr="00A9486C">
        <w:rPr>
          <w:noProof/>
          <w:szCs w:val="24"/>
          <w:lang w:eastAsia="lt-LT"/>
        </w:rPr>
        <w:t>Atsižvelgiant į ribotus viešuosius finansinius išteklius, ES iniciatyvas ir ankstesnių kaimo plėtros programų įgyvendinimo patirtį, Ministerija įžvelgia poreikį išanalizuoti galimybes išplėsti paramos žemės ūki</w:t>
      </w:r>
      <w:r>
        <w:rPr>
          <w:noProof/>
          <w:szCs w:val="24"/>
          <w:lang w:eastAsia="lt-LT"/>
        </w:rPr>
        <w:t>ui</w:t>
      </w:r>
      <w:r w:rsidRPr="00A9486C">
        <w:rPr>
          <w:noProof/>
          <w:szCs w:val="24"/>
          <w:lang w:eastAsia="lt-LT"/>
        </w:rPr>
        <w:t xml:space="preserve"> </w:t>
      </w:r>
      <w:r>
        <w:rPr>
          <w:noProof/>
          <w:szCs w:val="24"/>
          <w:lang w:eastAsia="lt-LT"/>
        </w:rPr>
        <w:t xml:space="preserve">ir kaimo plėtrai </w:t>
      </w:r>
      <w:r w:rsidRPr="00A9486C">
        <w:rPr>
          <w:noProof/>
          <w:szCs w:val="24"/>
          <w:lang w:eastAsia="lt-LT"/>
        </w:rPr>
        <w:t xml:space="preserve">priemonių pasirinkimą ir nuo pat naujo laikotarpio pradžios paramą teikti ne tik subsidijų, bet ir </w:t>
      </w:r>
      <w:r w:rsidRPr="00A9486C">
        <w:rPr>
          <w:b/>
          <w:bCs/>
          <w:noProof/>
          <w:szCs w:val="24"/>
          <w:lang w:eastAsia="lt-LT"/>
        </w:rPr>
        <w:t>finansinių priemonių</w:t>
      </w:r>
      <w:r w:rsidRPr="00A9486C">
        <w:rPr>
          <w:noProof/>
          <w:szCs w:val="24"/>
          <w:lang w:eastAsia="lt-LT"/>
        </w:rPr>
        <w:t xml:space="preserve"> forma. Tikimasi, kad bendrai su SP ex ante ir SPAV atliekamas FP ex ante vertinimas leis vertingais duomenimis ir infomacija papildyti SP SSGG analizę bei padės parinkti veiksmingą strategiją ir jos įgyvendinimo priemones siekiant ES ir Lietuvos SP tikslų.</w:t>
      </w:r>
    </w:p>
    <w:p w14:paraId="2DD20E9A" w14:textId="77777777" w:rsidR="0050229E" w:rsidRPr="00A9486C" w:rsidRDefault="0050229E" w:rsidP="0050229E">
      <w:pPr>
        <w:spacing w:after="200" w:line="276" w:lineRule="auto"/>
        <w:jc w:val="both"/>
        <w:rPr>
          <w:noProof/>
          <w:szCs w:val="24"/>
          <w:lang w:eastAsia="lt-LT"/>
        </w:rPr>
      </w:pPr>
      <w:r w:rsidRPr="00A9486C">
        <w:rPr>
          <w:noProof/>
          <w:szCs w:val="24"/>
          <w:lang w:eastAsia="lt-LT"/>
        </w:rPr>
        <w:t xml:space="preserve">Savo siūlomas intervencines priemones, kuriomis sieks konkrečių ES tikslų, valstybės narės pateiks savo </w:t>
      </w:r>
      <w:r w:rsidRPr="00A9486C">
        <w:rPr>
          <w:b/>
          <w:noProof/>
          <w:szCs w:val="24"/>
          <w:lang w:eastAsia="lt-LT"/>
        </w:rPr>
        <w:t>BŽŪP strateginiuose planuose</w:t>
      </w:r>
      <w:r w:rsidRPr="00A9486C">
        <w:rPr>
          <w:noProof/>
          <w:szCs w:val="24"/>
          <w:lang w:eastAsia="lt-LT"/>
        </w:rPr>
        <w:t xml:space="preserve">. SP reglamente nustatomos taisyklės dėl tokio BŽŪP strateginio plano turinio, o EK šiuos planus patikrins ir patvirtins. BŽŪP strateginiai planai apims daugumą BŽŪP paramos priemonių, finansuojamų iš EŽŪGF (įskaitant sektorines programas, kurios iki šiol buvo nustatomos pagal atskirą reglamentą) ir iš EŽŪFKP. Taip valstybėse narėse bus parengta </w:t>
      </w:r>
      <w:r w:rsidRPr="00A9486C">
        <w:rPr>
          <w:noProof/>
          <w:szCs w:val="24"/>
          <w:lang w:eastAsia="lt-LT"/>
        </w:rPr>
        <w:lastRenderedPageBreak/>
        <w:t>viena nuosekli intervencijos strategija; ją parengs kiekviena valstybė narė. BŽŪP strateginiuose planuose valstybės narės, naudodamos bendrai apibrėžtus rezultato rodiklius, nustatys siektinas reikšmes, ką jos nori pasiekti tuo programavimo laikotarpiu.</w:t>
      </w:r>
    </w:p>
    <w:p w14:paraId="6E86FBC4" w14:textId="77777777" w:rsidR="0050229E" w:rsidRPr="00A9486C" w:rsidRDefault="0050229E" w:rsidP="0050229E">
      <w:pPr>
        <w:spacing w:after="200" w:line="276" w:lineRule="auto"/>
        <w:jc w:val="both"/>
        <w:rPr>
          <w:noProof/>
          <w:szCs w:val="24"/>
          <w:lang w:eastAsia="lt-LT"/>
        </w:rPr>
      </w:pPr>
      <w:r w:rsidRPr="00A9486C">
        <w:rPr>
          <w:noProof/>
          <w:szCs w:val="24"/>
          <w:lang w:eastAsia="lt-LT" w:bidi="lt-LT"/>
        </w:rPr>
        <w:t xml:space="preserve">Pereinant prie labiau į veiklos rezultatus orientuotos politikos siekiama sukurti patikimą veiklos rezultatų užtikrinimo sistemą, kurioje, remdamasi bendrų rodiklių rinkiniu, EK galės vertinti ir stebėti politikos rezultatus. Dabartinė </w:t>
      </w:r>
      <w:r w:rsidRPr="00A9486C">
        <w:rPr>
          <w:b/>
          <w:noProof/>
          <w:szCs w:val="24"/>
          <w:lang w:eastAsia="lt-LT" w:bidi="lt-LT"/>
        </w:rPr>
        <w:t>bendra stebėsenos ir vertinimo sistema (BSVS)</w:t>
      </w:r>
      <w:r w:rsidRPr="00A9486C">
        <w:rPr>
          <w:noProof/>
          <w:szCs w:val="24"/>
          <w:lang w:eastAsia="lt-LT" w:bidi="lt-LT"/>
        </w:rPr>
        <w:t xml:space="preserve"> ir dabartinė tiesioginių išmokų ir kaimo plėtros stebėsenos sistema bus naudojamos kaip politikos rezultatų stebėsenos ir vertinimo pagrindas, tačiau jas reikės supaprastinti ir toliau tobulinti (didinant nuoseklumą ir tarp abiejų BŽŪP ramsčių).</w:t>
      </w:r>
    </w:p>
    <w:p w14:paraId="4B757587" w14:textId="77777777" w:rsidR="0050229E" w:rsidRPr="00A9486C" w:rsidRDefault="0050229E" w:rsidP="0050229E">
      <w:pPr>
        <w:spacing w:after="200" w:line="276" w:lineRule="auto"/>
        <w:jc w:val="both"/>
        <w:rPr>
          <w:noProof/>
          <w:szCs w:val="24"/>
          <w:lang w:eastAsia="lt-LT"/>
        </w:rPr>
      </w:pPr>
      <w:r w:rsidRPr="00A9486C">
        <w:rPr>
          <w:noProof/>
          <w:szCs w:val="24"/>
          <w:lang w:eastAsia="lt-LT"/>
        </w:rPr>
        <w:t>Kai BŽŪP strateginiai planai bus patvirtinti, valstybės narės metinėse ataskaitose praneš apie jų įgyvendinimo pažangą, naudodamos bendrųjų rodiklių sistemą. Valstybės narės ir Komisija stebės pažangą ir vertins intervencinių priemonių veiksmingumą.</w:t>
      </w:r>
    </w:p>
    <w:p w14:paraId="742AA876" w14:textId="77777777" w:rsidR="0050229E" w:rsidRPr="00A9486C" w:rsidRDefault="0050229E" w:rsidP="0050229E">
      <w:pPr>
        <w:jc w:val="both"/>
        <w:rPr>
          <w:szCs w:val="24"/>
          <w:lang w:eastAsia="lt-LT"/>
        </w:rPr>
      </w:pPr>
      <w:r w:rsidRPr="00A9486C">
        <w:rPr>
          <w:szCs w:val="24"/>
          <w:lang w:eastAsia="lt-LT"/>
        </w:rPr>
        <w:t xml:space="preserve">SP </w:t>
      </w:r>
      <w:proofErr w:type="spellStart"/>
      <w:r w:rsidRPr="00A9486C">
        <w:rPr>
          <w:szCs w:val="24"/>
          <w:lang w:eastAsia="lt-LT"/>
        </w:rPr>
        <w:t>ex</w:t>
      </w:r>
      <w:proofErr w:type="spellEnd"/>
      <w:r w:rsidRPr="00A9486C">
        <w:rPr>
          <w:szCs w:val="24"/>
          <w:lang w:eastAsia="lt-LT"/>
        </w:rPr>
        <w:t xml:space="preserve"> ante svarbiausieji SPR straipsniai yra šie:</w:t>
      </w:r>
    </w:p>
    <w:p w14:paraId="238DB0B4" w14:textId="77777777" w:rsidR="0050229E" w:rsidRPr="00A9486C" w:rsidRDefault="0050229E" w:rsidP="0050229E">
      <w:pPr>
        <w:jc w:val="both"/>
        <w:rPr>
          <w:szCs w:val="24"/>
          <w:lang w:eastAsia="lt-LT"/>
        </w:rPr>
      </w:pPr>
      <w:r w:rsidRPr="00A9486C">
        <w:rPr>
          <w:szCs w:val="24"/>
          <w:lang w:eastAsia="lt-LT"/>
        </w:rPr>
        <w:t>86 str. – didžiausieji ir mažiausieji įnašai;</w:t>
      </w:r>
    </w:p>
    <w:p w14:paraId="0DC0AA5B" w14:textId="77777777" w:rsidR="0050229E" w:rsidRPr="00A9486C" w:rsidRDefault="0050229E" w:rsidP="0050229E">
      <w:pPr>
        <w:jc w:val="both"/>
        <w:rPr>
          <w:szCs w:val="24"/>
          <w:lang w:eastAsia="lt-LT"/>
        </w:rPr>
      </w:pPr>
      <w:r w:rsidRPr="00A9486C">
        <w:rPr>
          <w:szCs w:val="24"/>
          <w:lang w:eastAsia="lt-LT"/>
        </w:rPr>
        <w:t>91 str. – BŽŪP strateginiai planai;</w:t>
      </w:r>
    </w:p>
    <w:p w14:paraId="33542B0B" w14:textId="77777777" w:rsidR="0050229E" w:rsidRPr="00A9486C" w:rsidRDefault="0050229E" w:rsidP="0050229E">
      <w:pPr>
        <w:jc w:val="both"/>
        <w:rPr>
          <w:szCs w:val="24"/>
          <w:lang w:eastAsia="lt-LT"/>
        </w:rPr>
      </w:pPr>
      <w:r w:rsidRPr="00A9486C">
        <w:rPr>
          <w:szCs w:val="24"/>
          <w:lang w:eastAsia="lt-LT"/>
        </w:rPr>
        <w:t>95 str. - BŽŪP strateginių planų turinys;</w:t>
      </w:r>
    </w:p>
    <w:p w14:paraId="3F041180" w14:textId="77777777" w:rsidR="0050229E" w:rsidRPr="00A9486C" w:rsidRDefault="0050229E" w:rsidP="0050229E">
      <w:pPr>
        <w:jc w:val="both"/>
        <w:rPr>
          <w:szCs w:val="24"/>
          <w:lang w:eastAsia="lt-LT"/>
        </w:rPr>
      </w:pPr>
      <w:r w:rsidRPr="00A9486C">
        <w:rPr>
          <w:szCs w:val="24"/>
          <w:lang w:eastAsia="lt-LT"/>
        </w:rPr>
        <w:t>96 str. – poreikių vertinimas;</w:t>
      </w:r>
    </w:p>
    <w:p w14:paraId="1A202070" w14:textId="77777777" w:rsidR="0050229E" w:rsidRPr="00A9486C" w:rsidRDefault="0050229E" w:rsidP="0050229E">
      <w:pPr>
        <w:jc w:val="both"/>
        <w:rPr>
          <w:szCs w:val="24"/>
          <w:lang w:eastAsia="lt-LT"/>
        </w:rPr>
      </w:pPr>
      <w:r w:rsidRPr="00A9486C">
        <w:rPr>
          <w:szCs w:val="24"/>
          <w:lang w:eastAsia="lt-LT"/>
        </w:rPr>
        <w:t>97 str. – intervencijos strategija;</w:t>
      </w:r>
    </w:p>
    <w:p w14:paraId="5D89205C" w14:textId="77777777" w:rsidR="0050229E" w:rsidRPr="00A9486C" w:rsidRDefault="0050229E" w:rsidP="0050229E">
      <w:pPr>
        <w:jc w:val="both"/>
        <w:rPr>
          <w:szCs w:val="24"/>
          <w:lang w:eastAsia="lt-LT"/>
        </w:rPr>
      </w:pPr>
      <w:r w:rsidRPr="00A9486C">
        <w:rPr>
          <w:szCs w:val="24"/>
          <w:lang w:eastAsia="lt-LT"/>
        </w:rPr>
        <w:t>103 str. – priedai;</w:t>
      </w:r>
    </w:p>
    <w:p w14:paraId="70AB41AF" w14:textId="77777777" w:rsidR="0050229E" w:rsidRPr="00A9486C" w:rsidRDefault="0050229E" w:rsidP="0050229E">
      <w:pPr>
        <w:jc w:val="both"/>
        <w:rPr>
          <w:szCs w:val="24"/>
          <w:lang w:eastAsia="lt-LT"/>
        </w:rPr>
      </w:pPr>
      <w:r w:rsidRPr="00A9486C">
        <w:rPr>
          <w:szCs w:val="24"/>
          <w:lang w:eastAsia="lt-LT"/>
        </w:rPr>
        <w:t>106 str. - BŽŪP strateginių planų tvirtinimas;</w:t>
      </w:r>
    </w:p>
    <w:p w14:paraId="7503D5BA" w14:textId="77777777" w:rsidR="0050229E" w:rsidRPr="00A9486C" w:rsidRDefault="0050229E" w:rsidP="0050229E">
      <w:pPr>
        <w:jc w:val="both"/>
        <w:rPr>
          <w:szCs w:val="24"/>
          <w:lang w:eastAsia="lt-LT"/>
        </w:rPr>
      </w:pPr>
      <w:r w:rsidRPr="00A9486C">
        <w:rPr>
          <w:szCs w:val="24"/>
          <w:lang w:eastAsia="lt-LT"/>
        </w:rPr>
        <w:t xml:space="preserve">125 str. – </w:t>
      </w:r>
      <w:proofErr w:type="spellStart"/>
      <w:r w:rsidRPr="00A9486C">
        <w:rPr>
          <w:szCs w:val="24"/>
          <w:lang w:eastAsia="lt-LT"/>
        </w:rPr>
        <w:t>ex</w:t>
      </w:r>
      <w:proofErr w:type="spellEnd"/>
      <w:r w:rsidRPr="00A9486C">
        <w:rPr>
          <w:szCs w:val="24"/>
          <w:lang w:eastAsia="lt-LT"/>
        </w:rPr>
        <w:t xml:space="preserve"> ante vertinimas;</w:t>
      </w:r>
    </w:p>
    <w:p w14:paraId="2F2B23DA" w14:textId="77777777" w:rsidR="0050229E" w:rsidRPr="00A9486C" w:rsidRDefault="0050229E" w:rsidP="0050229E">
      <w:pPr>
        <w:jc w:val="both"/>
        <w:rPr>
          <w:szCs w:val="24"/>
          <w:lang w:eastAsia="lt-LT"/>
        </w:rPr>
      </w:pPr>
      <w:r w:rsidRPr="00A9486C">
        <w:rPr>
          <w:szCs w:val="24"/>
          <w:lang w:eastAsia="lt-LT"/>
        </w:rPr>
        <w:t>Kontrolės ir atsiskaitymų tvarką nustatantys Horizontalaus reglamento straipsniai.</w:t>
      </w:r>
    </w:p>
    <w:p w14:paraId="250B2F99" w14:textId="77777777" w:rsidR="0050229E" w:rsidRPr="00A9486C" w:rsidRDefault="0050229E" w:rsidP="0050229E">
      <w:pPr>
        <w:jc w:val="both"/>
        <w:rPr>
          <w:szCs w:val="24"/>
          <w:lang w:eastAsia="lt-LT"/>
        </w:rPr>
      </w:pPr>
      <w:r w:rsidRPr="00A9486C">
        <w:rPr>
          <w:szCs w:val="24"/>
          <w:lang w:eastAsia="lt-LT"/>
        </w:rPr>
        <w:t xml:space="preserve">FP </w:t>
      </w:r>
      <w:proofErr w:type="spellStart"/>
      <w:r w:rsidRPr="00A9486C">
        <w:rPr>
          <w:szCs w:val="24"/>
          <w:lang w:eastAsia="lt-LT"/>
        </w:rPr>
        <w:t>ex</w:t>
      </w:r>
      <w:proofErr w:type="spellEnd"/>
      <w:r w:rsidRPr="00A9486C">
        <w:rPr>
          <w:szCs w:val="24"/>
          <w:lang w:eastAsia="lt-LT"/>
        </w:rPr>
        <w:t xml:space="preserve"> ante  svarbiausi yra BNR 52 ir 53 straipsniai, taip pat atitinkami SPR straipsniai.</w:t>
      </w:r>
    </w:p>
    <w:p w14:paraId="392DCC69" w14:textId="77777777" w:rsidR="0050229E" w:rsidRPr="00A9486C" w:rsidRDefault="0050229E" w:rsidP="0050229E">
      <w:pPr>
        <w:jc w:val="both"/>
        <w:rPr>
          <w:szCs w:val="24"/>
          <w:lang w:eastAsia="lt-LT"/>
        </w:rPr>
      </w:pPr>
    </w:p>
    <w:p w14:paraId="2D07AB17" w14:textId="77777777" w:rsidR="0050229E" w:rsidRPr="00A9486C" w:rsidRDefault="0050229E" w:rsidP="0050229E">
      <w:pPr>
        <w:spacing w:after="200" w:line="276" w:lineRule="auto"/>
        <w:contextualSpacing/>
        <w:jc w:val="both"/>
        <w:rPr>
          <w:szCs w:val="24"/>
          <w:lang w:eastAsia="lt-LT"/>
        </w:rPr>
      </w:pPr>
      <w:r w:rsidRPr="00A9486C">
        <w:rPr>
          <w:b/>
          <w:szCs w:val="24"/>
          <w:lang w:eastAsia="lt-LT"/>
        </w:rPr>
        <w:t>Svarbu.</w:t>
      </w:r>
      <w:r w:rsidRPr="00A9486C">
        <w:rPr>
          <w:szCs w:val="24"/>
          <w:lang w:eastAsia="lt-LT"/>
        </w:rPr>
        <w:t xml:space="preserve"> Konkurso sąlygų paskelbimo metu, nepaisant tam tikros pažangos ir susitarimų</w:t>
      </w:r>
      <w:r>
        <w:rPr>
          <w:szCs w:val="24"/>
          <w:lang w:eastAsia="lt-LT"/>
        </w:rPr>
        <w:t>,</w:t>
      </w:r>
      <w:r w:rsidRPr="00A9486C">
        <w:rPr>
          <w:szCs w:val="24"/>
          <w:lang w:eastAsia="lt-LT"/>
        </w:rPr>
        <w:t xml:space="preserve"> pasiektų ES vadovų</w:t>
      </w:r>
      <w:r w:rsidRPr="00A9486C">
        <w:rPr>
          <w:rStyle w:val="Puslapioinaosnuoroda"/>
          <w:szCs w:val="24"/>
          <w:lang w:eastAsia="lt-LT"/>
        </w:rPr>
        <w:footnoteReference w:id="10"/>
      </w:r>
      <w:r w:rsidRPr="00A9486C">
        <w:rPr>
          <w:szCs w:val="24"/>
          <w:lang w:eastAsia="lt-LT"/>
        </w:rPr>
        <w:t xml:space="preserve">, </w:t>
      </w:r>
      <w:r>
        <w:rPr>
          <w:szCs w:val="24"/>
          <w:lang w:eastAsia="lt-LT"/>
        </w:rPr>
        <w:t>ES žemės ūkio ir žuvininkystės Taryboje</w:t>
      </w:r>
      <w:r>
        <w:rPr>
          <w:rStyle w:val="Puslapioinaosnuoroda"/>
          <w:szCs w:val="24"/>
          <w:lang w:eastAsia="lt-LT"/>
        </w:rPr>
        <w:footnoteReference w:id="11"/>
      </w:r>
      <w:r>
        <w:rPr>
          <w:szCs w:val="24"/>
          <w:lang w:eastAsia="lt-LT"/>
        </w:rPr>
        <w:t xml:space="preserve">, </w:t>
      </w:r>
      <w:r w:rsidRPr="00A9486C">
        <w:rPr>
          <w:b/>
          <w:szCs w:val="24"/>
          <w:lang w:eastAsia="lt-LT"/>
        </w:rPr>
        <w:t>derybos</w:t>
      </w:r>
      <w:r w:rsidRPr="00A9486C">
        <w:rPr>
          <w:szCs w:val="24"/>
          <w:lang w:eastAsia="lt-LT"/>
        </w:rPr>
        <w:t xml:space="preserve"> tarp valstybių narių, Europos Komisijos ir Europos Parlamento </w:t>
      </w:r>
      <w:r w:rsidRPr="00A9486C">
        <w:rPr>
          <w:bCs/>
          <w:szCs w:val="24"/>
          <w:lang w:eastAsia="lt-LT"/>
        </w:rPr>
        <w:t>dar nėra baigtos</w:t>
      </w:r>
      <w:r w:rsidRPr="00A9486C">
        <w:rPr>
          <w:szCs w:val="24"/>
          <w:lang w:eastAsia="lt-LT"/>
        </w:rPr>
        <w:t xml:space="preserve"> </w:t>
      </w:r>
      <w:r>
        <w:rPr>
          <w:szCs w:val="24"/>
          <w:lang w:eastAsia="lt-LT"/>
        </w:rPr>
        <w:t>nei</w:t>
      </w:r>
      <w:r w:rsidRPr="00A9486C">
        <w:rPr>
          <w:szCs w:val="24"/>
          <w:lang w:eastAsia="lt-LT"/>
        </w:rPr>
        <w:t xml:space="preserve"> dėl būsimojo BŽŪP biudžeto, </w:t>
      </w:r>
      <w:r>
        <w:rPr>
          <w:szCs w:val="24"/>
          <w:lang w:eastAsia="lt-LT"/>
        </w:rPr>
        <w:t>nei</w:t>
      </w:r>
      <w:r w:rsidRPr="00A9486C">
        <w:rPr>
          <w:szCs w:val="24"/>
          <w:lang w:eastAsia="lt-LT"/>
        </w:rPr>
        <w:t xml:space="preserve"> dėl naujojo laikotarpio paramos sąlygų bei reikalavimų, t</w:t>
      </w:r>
      <w:r>
        <w:rPr>
          <w:szCs w:val="24"/>
          <w:lang w:eastAsia="lt-LT"/>
        </w:rPr>
        <w:t xml:space="preserve">ačiau akivaizdu, kad </w:t>
      </w:r>
      <w:r w:rsidRPr="00A9486C">
        <w:rPr>
          <w:szCs w:val="24"/>
          <w:lang w:eastAsia="lt-LT"/>
        </w:rPr>
        <w:t>pirmini</w:t>
      </w:r>
      <w:r>
        <w:rPr>
          <w:szCs w:val="24"/>
          <w:lang w:eastAsia="lt-LT"/>
        </w:rPr>
        <w:t>uose</w:t>
      </w:r>
      <w:r w:rsidRPr="00A9486C">
        <w:rPr>
          <w:szCs w:val="24"/>
          <w:lang w:eastAsia="lt-LT"/>
        </w:rPr>
        <w:t xml:space="preserve"> </w:t>
      </w:r>
      <w:r>
        <w:rPr>
          <w:szCs w:val="24"/>
          <w:lang w:eastAsia="lt-LT"/>
        </w:rPr>
        <w:t xml:space="preserve">Europos Komisijos teisės aktų </w:t>
      </w:r>
      <w:r w:rsidRPr="00A9486C">
        <w:rPr>
          <w:szCs w:val="24"/>
          <w:lang w:eastAsia="lt-LT"/>
        </w:rPr>
        <w:t>pasiūlym</w:t>
      </w:r>
      <w:r>
        <w:rPr>
          <w:szCs w:val="24"/>
          <w:lang w:eastAsia="lt-LT"/>
        </w:rPr>
        <w:t>uose pateiktos sąlygos keisis</w:t>
      </w:r>
      <w:r w:rsidRPr="00A9486C">
        <w:rPr>
          <w:szCs w:val="24"/>
          <w:lang w:eastAsia="lt-LT"/>
        </w:rPr>
        <w:t xml:space="preserve">. </w:t>
      </w:r>
      <w:r>
        <w:rPr>
          <w:szCs w:val="24"/>
          <w:lang w:eastAsia="lt-LT"/>
        </w:rPr>
        <w:t>ES teisės aktų leidėjai sutinka, kad strateginių planų nepavyks pradėti įgyvendinti 2021 m. ir šiuo metu rengiamasi ilgesniam nei 1 metų pereinamajam laikotarpiui</w:t>
      </w:r>
      <w:r w:rsidRPr="00A9486C">
        <w:rPr>
          <w:szCs w:val="24"/>
          <w:lang w:eastAsia="lt-LT"/>
        </w:rPr>
        <w:t xml:space="preserve">. </w:t>
      </w:r>
      <w:r w:rsidRPr="00A9486C">
        <w:rPr>
          <w:noProof/>
          <w:szCs w:val="24"/>
          <w:lang w:eastAsia="lt-LT"/>
        </w:rPr>
        <w:t xml:space="preserve">Neabejojama, kad būsimo laikotarpio </w:t>
      </w:r>
      <w:r>
        <w:rPr>
          <w:noProof/>
          <w:szCs w:val="24"/>
          <w:lang w:eastAsia="lt-LT"/>
        </w:rPr>
        <w:t xml:space="preserve">strateginių </w:t>
      </w:r>
      <w:r w:rsidRPr="00A9486C">
        <w:rPr>
          <w:noProof/>
          <w:szCs w:val="24"/>
          <w:lang w:eastAsia="lt-LT"/>
        </w:rPr>
        <w:t xml:space="preserve">planų rengimui įtakos </w:t>
      </w:r>
      <w:r>
        <w:rPr>
          <w:noProof/>
          <w:szCs w:val="24"/>
          <w:lang w:eastAsia="lt-LT"/>
        </w:rPr>
        <w:t xml:space="preserve">taip pat </w:t>
      </w:r>
      <w:r w:rsidRPr="00A9486C">
        <w:rPr>
          <w:noProof/>
          <w:szCs w:val="24"/>
          <w:lang w:eastAsia="lt-LT"/>
        </w:rPr>
        <w:t xml:space="preserve">turės </w:t>
      </w:r>
      <w:r w:rsidRPr="00A9486C">
        <w:rPr>
          <w:b/>
          <w:bCs/>
          <w:noProof/>
          <w:szCs w:val="24"/>
          <w:lang w:eastAsia="lt-LT"/>
        </w:rPr>
        <w:t>Covid-19</w:t>
      </w:r>
      <w:r w:rsidRPr="00A9486C">
        <w:rPr>
          <w:noProof/>
          <w:szCs w:val="24"/>
          <w:lang w:eastAsia="lt-LT"/>
        </w:rPr>
        <w:t xml:space="preserve"> pandemija ir jos sukeltos pasekmės bei tolimesni su jomis susiję E</w:t>
      </w:r>
      <w:r>
        <w:rPr>
          <w:noProof/>
          <w:szCs w:val="24"/>
          <w:lang w:eastAsia="lt-LT"/>
        </w:rPr>
        <w:t xml:space="preserve">uropos </w:t>
      </w:r>
      <w:r w:rsidRPr="00A9486C">
        <w:rPr>
          <w:noProof/>
          <w:szCs w:val="24"/>
          <w:lang w:eastAsia="lt-LT"/>
        </w:rPr>
        <w:t>S</w:t>
      </w:r>
      <w:r>
        <w:rPr>
          <w:noProof/>
          <w:szCs w:val="24"/>
          <w:lang w:eastAsia="lt-LT"/>
        </w:rPr>
        <w:t>ąjungos</w:t>
      </w:r>
      <w:r w:rsidRPr="00A9486C">
        <w:rPr>
          <w:rStyle w:val="Puslapioinaosnuoroda"/>
          <w:noProof/>
          <w:szCs w:val="24"/>
          <w:lang w:eastAsia="lt-LT"/>
        </w:rPr>
        <w:footnoteReference w:id="12"/>
      </w:r>
      <w:r w:rsidRPr="00A9486C">
        <w:rPr>
          <w:noProof/>
          <w:szCs w:val="24"/>
          <w:lang w:eastAsia="lt-LT"/>
        </w:rPr>
        <w:t xml:space="preserve"> ir </w:t>
      </w:r>
      <w:r>
        <w:rPr>
          <w:noProof/>
          <w:szCs w:val="24"/>
          <w:lang w:eastAsia="lt-LT"/>
        </w:rPr>
        <w:t>Lietuvos</w:t>
      </w:r>
      <w:r w:rsidRPr="00A9486C">
        <w:rPr>
          <w:noProof/>
          <w:szCs w:val="24"/>
          <w:lang w:eastAsia="lt-LT"/>
        </w:rPr>
        <w:t xml:space="preserve"> veiksmai, į kuriuos turės būti atsižvelgta rengiant ir vertinant </w:t>
      </w:r>
      <w:r w:rsidRPr="00A9486C">
        <w:rPr>
          <w:bCs/>
          <w:szCs w:val="24"/>
          <w:lang w:eastAsia="lt-LT"/>
        </w:rPr>
        <w:t>Lietuvos BŽŪP SP.</w:t>
      </w:r>
      <w:r>
        <w:rPr>
          <w:bCs/>
          <w:szCs w:val="24"/>
          <w:lang w:eastAsia="lt-LT"/>
        </w:rPr>
        <w:t xml:space="preserve"> Kol bus patvirtinti strateginių planų rengimui aktualūs ES teisės aktai, turės būti vadovaujamasi naujausiais šių teisės aktų projektais, kurie bus skelbiami Žemės ūkio ministerijos tinklapyje</w:t>
      </w:r>
      <w:r>
        <w:rPr>
          <w:rStyle w:val="Puslapioinaosnuoroda"/>
          <w:bCs/>
          <w:szCs w:val="24"/>
          <w:lang w:eastAsia="lt-LT"/>
        </w:rPr>
        <w:footnoteReference w:id="13"/>
      </w:r>
      <w:r>
        <w:rPr>
          <w:bCs/>
          <w:szCs w:val="24"/>
          <w:lang w:eastAsia="lt-LT"/>
        </w:rPr>
        <w:t>.</w:t>
      </w:r>
    </w:p>
    <w:p w14:paraId="1A3B6E1F"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 xml:space="preserve">Tai yra svarbūs aspektai, į kuriuos turės atsižvelgti paslaugų teikėjai, nes tai turės įtakos ir Lietuvos BŽŪP po 2020 m. strateginio plano (toliau – </w:t>
      </w:r>
      <w:r w:rsidRPr="00A9486C">
        <w:rPr>
          <w:b/>
          <w:szCs w:val="24"/>
          <w:lang w:eastAsia="lt-LT"/>
        </w:rPr>
        <w:t>Lietuvos BŽŪP SP, Strateginis planas</w:t>
      </w:r>
      <w:r w:rsidRPr="00A9486C">
        <w:rPr>
          <w:szCs w:val="24"/>
          <w:lang w:eastAsia="lt-LT"/>
        </w:rPr>
        <w:t xml:space="preserve">) turiniui, jo rengimo procesui, ir šiuo pirkimu įsigyjamoms paslaugoms. </w:t>
      </w:r>
    </w:p>
    <w:p w14:paraId="74FC49CA" w14:textId="77777777" w:rsidR="0050229E" w:rsidRPr="00A9486C" w:rsidRDefault="0050229E" w:rsidP="0050229E">
      <w:pPr>
        <w:spacing w:after="200" w:line="276" w:lineRule="auto"/>
        <w:contextualSpacing/>
        <w:jc w:val="both"/>
        <w:rPr>
          <w:szCs w:val="24"/>
          <w:lang w:eastAsia="lt-LT"/>
        </w:rPr>
      </w:pPr>
      <w:r w:rsidRPr="00A9486C">
        <w:rPr>
          <w:szCs w:val="24"/>
          <w:lang w:eastAsia="lt-LT"/>
        </w:rPr>
        <w:t xml:space="preserve">Lietuvoje vyksta kitų svarbių nacionalinių strateginių dokumentų - Nacionalinės pažangos programos ir Bendrojo plano rengimas. Ne mažiau svarbūs ir pagal ES teisės aktų reikalavimus Lietuvos parengti </w:t>
      </w:r>
      <w:r w:rsidRPr="00A9486C">
        <w:rPr>
          <w:szCs w:val="24"/>
          <w:lang w:eastAsia="lt-LT"/>
        </w:rPr>
        <w:lastRenderedPageBreak/>
        <w:t xml:space="preserve">dokumentai (pvz. Nacionalinis energetikos ir klimato srities veiksmų planas 2021–2030 m.). Šių dokumentų nuostatos </w:t>
      </w:r>
      <w:r>
        <w:rPr>
          <w:szCs w:val="24"/>
          <w:lang w:eastAsia="lt-LT"/>
        </w:rPr>
        <w:t xml:space="preserve">taip pat </w:t>
      </w:r>
      <w:r w:rsidRPr="00A9486C">
        <w:rPr>
          <w:szCs w:val="24"/>
          <w:lang w:eastAsia="lt-LT"/>
        </w:rPr>
        <w:t xml:space="preserve">turės įtakos </w:t>
      </w:r>
      <w:r w:rsidRPr="00A9486C">
        <w:rPr>
          <w:b/>
          <w:szCs w:val="24"/>
          <w:lang w:eastAsia="lt-LT"/>
        </w:rPr>
        <w:t>Lietuvos BŽŪP SP</w:t>
      </w:r>
      <w:r w:rsidRPr="00A9486C">
        <w:rPr>
          <w:szCs w:val="24"/>
          <w:lang w:eastAsia="lt-LT"/>
        </w:rPr>
        <w:t xml:space="preserve"> turiniui ir rengimo procesui.</w:t>
      </w:r>
    </w:p>
    <w:p w14:paraId="0DA7C2DF"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szCs w:val="24"/>
          <w:lang w:eastAsia="lt-LT"/>
        </w:rPr>
        <w:t>Ministerija jau pradėjo parengiamuosius naujojo laikotarpio darbus. Apie juos skelbiama Ministerijos interneto tinklapyje</w:t>
      </w:r>
      <w:r w:rsidRPr="00A9486C">
        <w:rPr>
          <w:szCs w:val="24"/>
          <w:vertAlign w:val="superscript"/>
          <w:lang w:eastAsia="lt-LT"/>
        </w:rPr>
        <w:footnoteReference w:id="14"/>
      </w:r>
      <w:r w:rsidRPr="00A9486C">
        <w:rPr>
          <w:szCs w:val="24"/>
          <w:lang w:eastAsia="lt-LT"/>
        </w:rPr>
        <w:t>. Kita informacija bus suteikta su tiekėju pasirašius sutartį.</w:t>
      </w:r>
    </w:p>
    <w:p w14:paraId="77EB9B7B" w14:textId="77777777" w:rsidR="0050229E" w:rsidRPr="00A9486C" w:rsidRDefault="0050229E" w:rsidP="0050229E">
      <w:pPr>
        <w:tabs>
          <w:tab w:val="left" w:pos="426"/>
        </w:tabs>
        <w:autoSpaceDE w:val="0"/>
        <w:autoSpaceDN w:val="0"/>
        <w:adjustRightInd w:val="0"/>
        <w:contextualSpacing/>
        <w:jc w:val="both"/>
        <w:rPr>
          <w:szCs w:val="24"/>
          <w:lang w:eastAsia="lt-LT"/>
        </w:rPr>
      </w:pPr>
    </w:p>
    <w:p w14:paraId="24B8BFE9" w14:textId="77777777" w:rsidR="0050229E" w:rsidRPr="00A9486C" w:rsidRDefault="0050229E" w:rsidP="0050229E">
      <w:pPr>
        <w:numPr>
          <w:ilvl w:val="0"/>
          <w:numId w:val="1"/>
        </w:numPr>
        <w:spacing w:before="480" w:after="200" w:line="276" w:lineRule="auto"/>
        <w:contextualSpacing/>
        <w:jc w:val="center"/>
        <w:outlineLvl w:val="0"/>
        <w:rPr>
          <w:b/>
          <w:bCs/>
          <w:szCs w:val="24"/>
          <w:lang w:eastAsia="lt-LT"/>
        </w:rPr>
      </w:pPr>
      <w:r w:rsidRPr="00A9486C">
        <w:rPr>
          <w:b/>
          <w:bCs/>
          <w:szCs w:val="24"/>
          <w:lang w:eastAsia="lt-LT"/>
        </w:rPr>
        <w:t>VERTINIMO TIKSLAS, UŽDAVINIAI IR REZULTATAI</w:t>
      </w:r>
    </w:p>
    <w:p w14:paraId="5EA71BCB" w14:textId="77777777" w:rsidR="0050229E" w:rsidRPr="00A9486C" w:rsidRDefault="0050229E" w:rsidP="0050229E">
      <w:pPr>
        <w:autoSpaceDE w:val="0"/>
        <w:autoSpaceDN w:val="0"/>
        <w:adjustRightInd w:val="0"/>
        <w:jc w:val="both"/>
        <w:rPr>
          <w:szCs w:val="24"/>
          <w:lang w:eastAsia="lt-LT"/>
        </w:rPr>
      </w:pPr>
    </w:p>
    <w:p w14:paraId="4BE225E5"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jc w:val="both"/>
        <w:rPr>
          <w:szCs w:val="24"/>
          <w:lang w:eastAsia="lt-LT"/>
        </w:rPr>
      </w:pPr>
      <w:r w:rsidRPr="00A9486C">
        <w:rPr>
          <w:szCs w:val="24"/>
          <w:lang w:eastAsia="lt-LT"/>
        </w:rPr>
        <w:t>Lietuvos bendrosios</w:t>
      </w:r>
      <w:r w:rsidRPr="00A9486C">
        <w:rPr>
          <w:bCs/>
          <w:szCs w:val="24"/>
          <w:lang w:eastAsia="lt-LT"/>
        </w:rPr>
        <w:t xml:space="preserve"> žemės ūkio politikos po 2020 m. strateginio plano </w:t>
      </w:r>
      <w:proofErr w:type="spellStart"/>
      <w:r w:rsidRPr="00A9486C">
        <w:rPr>
          <w:bCs/>
          <w:szCs w:val="24"/>
          <w:lang w:eastAsia="lt-LT"/>
        </w:rPr>
        <w:t>ex</w:t>
      </w:r>
      <w:proofErr w:type="spellEnd"/>
      <w:r w:rsidRPr="00A9486C">
        <w:rPr>
          <w:bCs/>
          <w:szCs w:val="24"/>
          <w:lang w:eastAsia="lt-LT"/>
        </w:rPr>
        <w:t xml:space="preserve">-ante vertinimo ir finansinių priemonių </w:t>
      </w:r>
      <w:proofErr w:type="spellStart"/>
      <w:r w:rsidRPr="00A9486C">
        <w:rPr>
          <w:bCs/>
          <w:szCs w:val="24"/>
          <w:lang w:eastAsia="lt-LT"/>
        </w:rPr>
        <w:t>ex</w:t>
      </w:r>
      <w:proofErr w:type="spellEnd"/>
      <w:r w:rsidRPr="00A9486C">
        <w:rPr>
          <w:bCs/>
          <w:szCs w:val="24"/>
          <w:lang w:eastAsia="lt-LT"/>
        </w:rPr>
        <w:t>-ante vertinimo</w:t>
      </w:r>
      <w:r w:rsidRPr="00A9486C">
        <w:rPr>
          <w:b/>
          <w:szCs w:val="24"/>
          <w:lang w:eastAsia="lt-LT"/>
        </w:rPr>
        <w:t xml:space="preserve"> tikslas</w:t>
      </w:r>
      <w:r w:rsidRPr="00A9486C">
        <w:rPr>
          <w:szCs w:val="24"/>
          <w:lang w:eastAsia="lt-LT"/>
        </w:rPr>
        <w:t xml:space="preserve"> – pagerinti Strateginio plano rengimo ir įgyvendinimo kokybę bei </w:t>
      </w:r>
      <w:r>
        <w:rPr>
          <w:szCs w:val="24"/>
          <w:lang w:eastAsia="lt-LT"/>
        </w:rPr>
        <w:t>įvertinti</w:t>
      </w:r>
      <w:r w:rsidRPr="00A9486C">
        <w:rPr>
          <w:szCs w:val="24"/>
          <w:lang w:eastAsia="lt-LT"/>
        </w:rPr>
        <w:t xml:space="preserve"> galimybes </w:t>
      </w:r>
      <w:r>
        <w:rPr>
          <w:szCs w:val="24"/>
          <w:lang w:eastAsia="lt-LT"/>
        </w:rPr>
        <w:t xml:space="preserve">teikti ES paramą žemės ūkiui ir kaimo plėtrai panaudojant finansines priemones.   </w:t>
      </w:r>
    </w:p>
    <w:p w14:paraId="3DD4924A" w14:textId="77777777" w:rsidR="0050229E" w:rsidRPr="00A9486C" w:rsidRDefault="0050229E" w:rsidP="0050229E">
      <w:pPr>
        <w:jc w:val="both"/>
        <w:rPr>
          <w:szCs w:val="24"/>
          <w:lang w:eastAsia="lt-LT"/>
        </w:rPr>
      </w:pPr>
    </w:p>
    <w:p w14:paraId="1EFD0165"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rPr>
          <w:szCs w:val="24"/>
          <w:lang w:eastAsia="lt-LT"/>
        </w:rPr>
      </w:pPr>
      <w:r w:rsidRPr="00A9486C">
        <w:rPr>
          <w:b/>
          <w:szCs w:val="24"/>
          <w:lang w:eastAsia="lt-LT"/>
        </w:rPr>
        <w:t>Vertinimo uždaviniai</w:t>
      </w:r>
    </w:p>
    <w:p w14:paraId="6B2B315E" w14:textId="77777777" w:rsidR="0050229E" w:rsidRPr="00A9486C" w:rsidRDefault="0050229E" w:rsidP="0050229E">
      <w:pPr>
        <w:jc w:val="both"/>
        <w:rPr>
          <w:szCs w:val="24"/>
          <w:lang w:eastAsia="lt-LT"/>
        </w:rPr>
      </w:pPr>
    </w:p>
    <w:p w14:paraId="7311CD65" w14:textId="77777777" w:rsidR="0050229E" w:rsidRPr="00A9486C" w:rsidRDefault="0050229E" w:rsidP="0050229E">
      <w:pPr>
        <w:jc w:val="both"/>
        <w:rPr>
          <w:szCs w:val="24"/>
          <w:lang w:eastAsia="lt-LT"/>
        </w:rPr>
      </w:pPr>
      <w:r w:rsidRPr="00A9486C">
        <w:rPr>
          <w:szCs w:val="24"/>
          <w:lang w:eastAsia="lt-LT"/>
        </w:rPr>
        <w:t>Vadovaujantis Europos Sąjungos ir nacionaliniais reikalavimais, gairėmis bei kriterijais atlikti:</w:t>
      </w:r>
    </w:p>
    <w:p w14:paraId="0D018B6A"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Lietuvos BŽŪP SP </w:t>
      </w:r>
      <w:proofErr w:type="spellStart"/>
      <w:r w:rsidRPr="00A9486C">
        <w:rPr>
          <w:szCs w:val="24"/>
          <w:lang w:eastAsia="lt-LT"/>
        </w:rPr>
        <w:t>ex</w:t>
      </w:r>
      <w:proofErr w:type="spellEnd"/>
      <w:r w:rsidRPr="00A9486C">
        <w:rPr>
          <w:szCs w:val="24"/>
          <w:lang w:eastAsia="lt-LT"/>
        </w:rPr>
        <w:t xml:space="preserve"> ante vertinimą (toliau – SP </w:t>
      </w:r>
      <w:proofErr w:type="spellStart"/>
      <w:r w:rsidRPr="00A9486C">
        <w:rPr>
          <w:szCs w:val="24"/>
          <w:lang w:eastAsia="lt-LT"/>
        </w:rPr>
        <w:t>ex</w:t>
      </w:r>
      <w:proofErr w:type="spellEnd"/>
      <w:r w:rsidRPr="00A9486C">
        <w:rPr>
          <w:szCs w:val="24"/>
          <w:lang w:eastAsia="lt-LT"/>
        </w:rPr>
        <w:t xml:space="preserve"> ante)</w:t>
      </w:r>
      <w:r>
        <w:rPr>
          <w:szCs w:val="24"/>
          <w:lang w:eastAsia="lt-LT"/>
        </w:rPr>
        <w:t xml:space="preserve"> ir </w:t>
      </w:r>
      <w:r w:rsidRPr="00A9486C">
        <w:rPr>
          <w:szCs w:val="24"/>
          <w:lang w:eastAsia="lt-LT"/>
        </w:rPr>
        <w:t>šio plano strateginį pasekmių aplinkai vertinimą (toliau – SP SPAV)).</w:t>
      </w:r>
    </w:p>
    <w:p w14:paraId="0F4E0E65"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Lietuvos BŽŪP SP finansinių priemonių </w:t>
      </w:r>
      <w:proofErr w:type="spellStart"/>
      <w:r w:rsidRPr="00A9486C">
        <w:rPr>
          <w:szCs w:val="24"/>
          <w:lang w:eastAsia="lt-LT"/>
        </w:rPr>
        <w:t>ex</w:t>
      </w:r>
      <w:proofErr w:type="spellEnd"/>
      <w:r w:rsidRPr="00A9486C">
        <w:rPr>
          <w:szCs w:val="24"/>
          <w:lang w:eastAsia="lt-LT"/>
        </w:rPr>
        <w:t xml:space="preserve">-ante vertinimą (SP FP </w:t>
      </w:r>
      <w:proofErr w:type="spellStart"/>
      <w:r w:rsidRPr="00A9486C">
        <w:rPr>
          <w:szCs w:val="24"/>
          <w:lang w:eastAsia="lt-LT"/>
        </w:rPr>
        <w:t>ex</w:t>
      </w:r>
      <w:proofErr w:type="spellEnd"/>
      <w:r w:rsidRPr="00A9486C">
        <w:rPr>
          <w:szCs w:val="24"/>
          <w:lang w:eastAsia="lt-LT"/>
        </w:rPr>
        <w:t xml:space="preserve"> ante).</w:t>
      </w:r>
    </w:p>
    <w:p w14:paraId="408AE49A" w14:textId="77777777" w:rsidR="0050229E" w:rsidRPr="00A9486C" w:rsidRDefault="0050229E" w:rsidP="0050229E">
      <w:pPr>
        <w:jc w:val="both"/>
        <w:rPr>
          <w:szCs w:val="24"/>
          <w:lang w:eastAsia="lt-LT"/>
        </w:rPr>
      </w:pPr>
    </w:p>
    <w:p w14:paraId="2B70AC5B"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rPr>
          <w:szCs w:val="24"/>
          <w:lang w:eastAsia="lt-LT"/>
        </w:rPr>
      </w:pPr>
      <w:r w:rsidRPr="00A9486C">
        <w:rPr>
          <w:b/>
          <w:szCs w:val="24"/>
          <w:lang w:eastAsia="lt-LT"/>
        </w:rPr>
        <w:t>Vertinimo rezultatai</w:t>
      </w:r>
    </w:p>
    <w:p w14:paraId="1C90F2AE" w14:textId="77777777" w:rsidR="0050229E" w:rsidRPr="00A9486C" w:rsidRDefault="0050229E" w:rsidP="0050229E">
      <w:pPr>
        <w:jc w:val="both"/>
        <w:rPr>
          <w:szCs w:val="24"/>
          <w:lang w:eastAsia="lt-LT"/>
        </w:rPr>
      </w:pPr>
    </w:p>
    <w:p w14:paraId="7FBACBF5" w14:textId="77777777" w:rsidR="0050229E" w:rsidRPr="00A9486C" w:rsidRDefault="0050229E" w:rsidP="0050229E">
      <w:pPr>
        <w:numPr>
          <w:ilvl w:val="1"/>
          <w:numId w:val="2"/>
        </w:numPr>
        <w:tabs>
          <w:tab w:val="left" w:pos="426"/>
        </w:tabs>
        <w:autoSpaceDE w:val="0"/>
        <w:autoSpaceDN w:val="0"/>
        <w:adjustRightInd w:val="0"/>
        <w:spacing w:after="200" w:line="276" w:lineRule="auto"/>
        <w:ind w:hanging="795"/>
        <w:contextualSpacing/>
        <w:jc w:val="both"/>
        <w:rPr>
          <w:szCs w:val="24"/>
          <w:lang w:eastAsia="lt-LT"/>
        </w:rPr>
      </w:pPr>
      <w:r w:rsidRPr="00A9486C">
        <w:rPr>
          <w:szCs w:val="24"/>
          <w:lang w:eastAsia="lt-LT"/>
        </w:rPr>
        <w:t xml:space="preserve">Integruota Lietuvos BŽŪP </w:t>
      </w:r>
      <w:r w:rsidRPr="006E75A3">
        <w:rPr>
          <w:b/>
          <w:bCs/>
          <w:szCs w:val="24"/>
          <w:lang w:eastAsia="lt-LT"/>
        </w:rPr>
        <w:t xml:space="preserve">SP </w:t>
      </w:r>
      <w:proofErr w:type="spellStart"/>
      <w:r w:rsidRPr="00A9486C">
        <w:rPr>
          <w:b/>
          <w:szCs w:val="24"/>
          <w:lang w:eastAsia="lt-LT"/>
        </w:rPr>
        <w:t>ex</w:t>
      </w:r>
      <w:proofErr w:type="spellEnd"/>
      <w:r w:rsidRPr="00A9486C">
        <w:rPr>
          <w:b/>
          <w:szCs w:val="24"/>
          <w:lang w:eastAsia="lt-LT"/>
        </w:rPr>
        <w:t xml:space="preserve"> ante vertinimo</w:t>
      </w:r>
      <w:r w:rsidRPr="00A9486C">
        <w:rPr>
          <w:szCs w:val="24"/>
          <w:lang w:eastAsia="lt-LT"/>
        </w:rPr>
        <w:t xml:space="preserve"> </w:t>
      </w:r>
      <w:r w:rsidRPr="00A9486C">
        <w:rPr>
          <w:b/>
          <w:szCs w:val="24"/>
          <w:lang w:eastAsia="lt-LT"/>
        </w:rPr>
        <w:t>santrauka</w:t>
      </w:r>
      <w:r w:rsidRPr="00A9486C">
        <w:rPr>
          <w:szCs w:val="24"/>
          <w:lang w:eastAsia="lt-LT"/>
        </w:rPr>
        <w:t xml:space="preserve"> (apimanti SP </w:t>
      </w:r>
      <w:proofErr w:type="spellStart"/>
      <w:r w:rsidRPr="00A9486C">
        <w:rPr>
          <w:szCs w:val="24"/>
          <w:lang w:eastAsia="lt-LT"/>
        </w:rPr>
        <w:t>ex</w:t>
      </w:r>
      <w:proofErr w:type="spellEnd"/>
      <w:r w:rsidRPr="00A9486C">
        <w:rPr>
          <w:szCs w:val="24"/>
          <w:lang w:eastAsia="lt-LT"/>
        </w:rPr>
        <w:t xml:space="preserve"> ante ir SP SPAV) lietuvių kalba (iki 30 puslapių</w:t>
      </w:r>
      <w:r w:rsidRPr="00A9486C">
        <w:rPr>
          <w:szCs w:val="24"/>
          <w:vertAlign w:val="superscript"/>
          <w:lang w:eastAsia="lt-LT"/>
        </w:rPr>
        <w:footnoteReference w:id="15"/>
      </w:r>
      <w:r w:rsidRPr="00A9486C">
        <w:rPr>
          <w:szCs w:val="24"/>
          <w:lang w:eastAsia="lt-LT"/>
        </w:rPr>
        <w:t>, jei EK rekomendacijose ar reikalavimuose nebūtų nurodyta kitaip), o pagrindiniai šios santraukos elementai (vertinimo eiga, naudoti metodai, rezultatai, išvados ir rekomendacijos) – ir anglų kalba (iki 10 puslapių);</w:t>
      </w:r>
    </w:p>
    <w:p w14:paraId="3C2F7289" w14:textId="77777777" w:rsidR="0050229E" w:rsidRPr="00A9486C" w:rsidRDefault="0050229E" w:rsidP="0050229E">
      <w:pPr>
        <w:numPr>
          <w:ilvl w:val="1"/>
          <w:numId w:val="2"/>
        </w:numPr>
        <w:tabs>
          <w:tab w:val="left" w:pos="426"/>
        </w:tabs>
        <w:autoSpaceDE w:val="0"/>
        <w:autoSpaceDN w:val="0"/>
        <w:adjustRightInd w:val="0"/>
        <w:spacing w:after="200" w:line="276" w:lineRule="auto"/>
        <w:ind w:hanging="795"/>
        <w:contextualSpacing/>
        <w:jc w:val="both"/>
        <w:rPr>
          <w:szCs w:val="24"/>
          <w:lang w:eastAsia="lt-LT"/>
        </w:rPr>
      </w:pPr>
      <w:r w:rsidRPr="00A9486C">
        <w:rPr>
          <w:szCs w:val="24"/>
          <w:lang w:eastAsia="lt-LT"/>
        </w:rPr>
        <w:t xml:space="preserve">Lietuvos BŽŪP SP </w:t>
      </w:r>
      <w:proofErr w:type="spellStart"/>
      <w:r w:rsidRPr="006E75A3">
        <w:rPr>
          <w:b/>
          <w:bCs/>
          <w:szCs w:val="24"/>
          <w:lang w:eastAsia="lt-LT"/>
        </w:rPr>
        <w:t>SP</w:t>
      </w:r>
      <w:proofErr w:type="spellEnd"/>
      <w:r>
        <w:rPr>
          <w:szCs w:val="24"/>
          <w:lang w:eastAsia="lt-LT"/>
        </w:rPr>
        <w:t xml:space="preserve"> </w:t>
      </w:r>
      <w:proofErr w:type="spellStart"/>
      <w:r w:rsidRPr="00A9486C">
        <w:rPr>
          <w:b/>
          <w:szCs w:val="24"/>
          <w:lang w:eastAsia="lt-LT"/>
        </w:rPr>
        <w:t>ex</w:t>
      </w:r>
      <w:proofErr w:type="spellEnd"/>
      <w:r w:rsidRPr="00A9486C">
        <w:rPr>
          <w:b/>
          <w:szCs w:val="24"/>
          <w:lang w:eastAsia="lt-LT"/>
        </w:rPr>
        <w:t xml:space="preserve"> ante vertinimo ataskaita </w:t>
      </w:r>
      <w:r w:rsidRPr="00A9486C">
        <w:rPr>
          <w:szCs w:val="24"/>
          <w:lang w:eastAsia="lt-LT"/>
        </w:rPr>
        <w:t>lietuvių kalba</w:t>
      </w:r>
      <w:r w:rsidRPr="00A9486C">
        <w:rPr>
          <w:b/>
          <w:szCs w:val="24"/>
          <w:lang w:eastAsia="lt-LT"/>
        </w:rPr>
        <w:t xml:space="preserve"> </w:t>
      </w:r>
      <w:r w:rsidRPr="00A9486C">
        <w:rPr>
          <w:szCs w:val="24"/>
          <w:lang w:eastAsia="lt-LT"/>
        </w:rPr>
        <w:t>(puslapių skaičius neribojamas);</w:t>
      </w:r>
    </w:p>
    <w:p w14:paraId="0349C76B" w14:textId="77777777" w:rsidR="0050229E" w:rsidRPr="00A9486C" w:rsidRDefault="0050229E" w:rsidP="0050229E">
      <w:pPr>
        <w:numPr>
          <w:ilvl w:val="1"/>
          <w:numId w:val="2"/>
        </w:numPr>
        <w:tabs>
          <w:tab w:val="left" w:pos="426"/>
        </w:tabs>
        <w:autoSpaceDE w:val="0"/>
        <w:autoSpaceDN w:val="0"/>
        <w:adjustRightInd w:val="0"/>
        <w:spacing w:after="200" w:line="276" w:lineRule="auto"/>
        <w:ind w:hanging="795"/>
        <w:contextualSpacing/>
        <w:jc w:val="both"/>
        <w:rPr>
          <w:szCs w:val="24"/>
          <w:lang w:eastAsia="lt-LT"/>
        </w:rPr>
      </w:pPr>
      <w:r w:rsidRPr="00A9486C">
        <w:rPr>
          <w:szCs w:val="24"/>
          <w:lang w:eastAsia="lt-LT"/>
        </w:rPr>
        <w:t xml:space="preserve">Lietuvos BŽŪP SP </w:t>
      </w:r>
      <w:r w:rsidRPr="00A9486C">
        <w:rPr>
          <w:b/>
          <w:szCs w:val="24"/>
          <w:lang w:eastAsia="lt-LT"/>
        </w:rPr>
        <w:t>SPAV ataskaita</w:t>
      </w:r>
      <w:r w:rsidRPr="00A9486C">
        <w:rPr>
          <w:szCs w:val="24"/>
          <w:lang w:eastAsia="lt-LT"/>
        </w:rPr>
        <w:t xml:space="preserve"> lietuvių kalba (puslapių skaičius neribojamas) </w:t>
      </w:r>
    </w:p>
    <w:p w14:paraId="4073F896" w14:textId="77777777" w:rsidR="0050229E" w:rsidRPr="00A9486C" w:rsidRDefault="0050229E" w:rsidP="0050229E">
      <w:pPr>
        <w:numPr>
          <w:ilvl w:val="1"/>
          <w:numId w:val="2"/>
        </w:numPr>
        <w:tabs>
          <w:tab w:val="left" w:pos="426"/>
        </w:tabs>
        <w:autoSpaceDE w:val="0"/>
        <w:autoSpaceDN w:val="0"/>
        <w:adjustRightInd w:val="0"/>
        <w:spacing w:after="200" w:line="276" w:lineRule="auto"/>
        <w:ind w:hanging="795"/>
        <w:contextualSpacing/>
        <w:jc w:val="both"/>
        <w:rPr>
          <w:szCs w:val="24"/>
          <w:lang w:eastAsia="lt-LT"/>
        </w:rPr>
      </w:pPr>
      <w:r w:rsidRPr="00A9486C">
        <w:rPr>
          <w:szCs w:val="24"/>
          <w:lang w:eastAsia="lt-LT"/>
        </w:rPr>
        <w:t xml:space="preserve">Lietuvos BŽŪP SP </w:t>
      </w:r>
      <w:r w:rsidRPr="00A9486C">
        <w:rPr>
          <w:b/>
          <w:bCs/>
          <w:szCs w:val="24"/>
          <w:lang w:eastAsia="lt-LT"/>
        </w:rPr>
        <w:t xml:space="preserve">finansinių priemonių </w:t>
      </w:r>
      <w:proofErr w:type="spellStart"/>
      <w:r w:rsidRPr="00A9486C">
        <w:rPr>
          <w:b/>
          <w:bCs/>
          <w:szCs w:val="24"/>
          <w:lang w:eastAsia="lt-LT"/>
        </w:rPr>
        <w:t>ex</w:t>
      </w:r>
      <w:proofErr w:type="spellEnd"/>
      <w:r w:rsidRPr="00A9486C">
        <w:rPr>
          <w:b/>
          <w:bCs/>
          <w:szCs w:val="24"/>
          <w:lang w:eastAsia="lt-LT"/>
        </w:rPr>
        <w:t xml:space="preserve">-ante vertinimo ataskaita </w:t>
      </w:r>
      <w:r w:rsidRPr="00A9486C">
        <w:rPr>
          <w:szCs w:val="24"/>
          <w:lang w:eastAsia="lt-LT"/>
        </w:rPr>
        <w:t>(puslapių skaičius neribojamas)</w:t>
      </w:r>
      <w:r w:rsidRPr="00A9486C">
        <w:rPr>
          <w:b/>
          <w:bCs/>
          <w:szCs w:val="24"/>
          <w:lang w:eastAsia="lt-LT"/>
        </w:rPr>
        <w:t>, jos santrauka</w:t>
      </w:r>
      <w:r w:rsidRPr="00A9486C">
        <w:rPr>
          <w:szCs w:val="24"/>
          <w:lang w:eastAsia="lt-LT"/>
        </w:rPr>
        <w:t xml:space="preserve"> lietuvių kalba (iki 10 puslapių, jei EK rekomendacijose ar reikalavimuose nebūtų nurodyta kitaip), o pagrindiniai šios santraukos elementai (vertinimo eiga, rezultatai, išvados ir rekomendacijos) – ir anglų kalba (iki 5 puslapių).</w:t>
      </w:r>
    </w:p>
    <w:p w14:paraId="3C146C7C" w14:textId="77777777" w:rsidR="0050229E" w:rsidRPr="00A9486C" w:rsidRDefault="0050229E" w:rsidP="0050229E">
      <w:pPr>
        <w:numPr>
          <w:ilvl w:val="1"/>
          <w:numId w:val="2"/>
        </w:numPr>
        <w:tabs>
          <w:tab w:val="left" w:pos="426"/>
        </w:tabs>
        <w:autoSpaceDE w:val="0"/>
        <w:autoSpaceDN w:val="0"/>
        <w:adjustRightInd w:val="0"/>
        <w:spacing w:after="200" w:line="276" w:lineRule="auto"/>
        <w:ind w:hanging="795"/>
        <w:contextualSpacing/>
        <w:jc w:val="both"/>
        <w:rPr>
          <w:szCs w:val="24"/>
          <w:lang w:eastAsia="lt-LT"/>
        </w:rPr>
      </w:pPr>
      <w:r w:rsidRPr="00A9486C">
        <w:rPr>
          <w:szCs w:val="24"/>
          <w:lang w:eastAsia="lt-LT"/>
        </w:rPr>
        <w:t xml:space="preserve">Surengti </w:t>
      </w:r>
      <w:r w:rsidRPr="006E75A3">
        <w:rPr>
          <w:b/>
          <w:bCs/>
          <w:szCs w:val="24"/>
          <w:lang w:eastAsia="lt-LT"/>
        </w:rPr>
        <w:t>ne mažiau kaip 4 pristatymai</w:t>
      </w:r>
      <w:r w:rsidRPr="00A9486C">
        <w:rPr>
          <w:szCs w:val="24"/>
          <w:lang w:eastAsia="lt-LT"/>
        </w:rPr>
        <w:t xml:space="preserve"> vertinimo eigai ir rezultatams aptarti su atsakingomis institucijomis ir/ar socialiniais ekonominiais partneriais. </w:t>
      </w:r>
    </w:p>
    <w:p w14:paraId="7692A14B" w14:textId="77777777" w:rsidR="0050229E" w:rsidRPr="00A9486C" w:rsidRDefault="0050229E" w:rsidP="0050229E">
      <w:pPr>
        <w:tabs>
          <w:tab w:val="left" w:pos="426"/>
        </w:tabs>
        <w:autoSpaceDE w:val="0"/>
        <w:autoSpaceDN w:val="0"/>
        <w:adjustRightInd w:val="0"/>
        <w:ind w:left="795"/>
        <w:contextualSpacing/>
        <w:jc w:val="both"/>
        <w:rPr>
          <w:szCs w:val="24"/>
          <w:lang w:eastAsia="lt-LT"/>
        </w:rPr>
      </w:pPr>
    </w:p>
    <w:p w14:paraId="7242A8B0" w14:textId="77777777" w:rsidR="0050229E" w:rsidRPr="00A9486C" w:rsidRDefault="0050229E" w:rsidP="0050229E">
      <w:pPr>
        <w:jc w:val="center"/>
        <w:rPr>
          <w:szCs w:val="24"/>
          <w:lang w:eastAsia="lt-LT"/>
        </w:rPr>
      </w:pPr>
      <w:r w:rsidRPr="00A9486C">
        <w:rPr>
          <w:b/>
          <w:bCs/>
          <w:szCs w:val="24"/>
          <w:lang w:eastAsia="lt-LT"/>
        </w:rPr>
        <w:t>III. VERTINIMO OBJEKTAS IR APIMTIS</w:t>
      </w:r>
    </w:p>
    <w:p w14:paraId="024E5E41" w14:textId="77777777" w:rsidR="0050229E" w:rsidRPr="00A9486C" w:rsidRDefault="0050229E" w:rsidP="0050229E">
      <w:pPr>
        <w:rPr>
          <w:b/>
          <w:szCs w:val="24"/>
          <w:lang w:eastAsia="lt-LT"/>
        </w:rPr>
      </w:pPr>
    </w:p>
    <w:p w14:paraId="13828FE6"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rPr>
          <w:szCs w:val="24"/>
          <w:lang w:eastAsia="lt-LT"/>
        </w:rPr>
      </w:pPr>
      <w:r w:rsidRPr="00A9486C">
        <w:rPr>
          <w:b/>
          <w:szCs w:val="24"/>
          <w:lang w:eastAsia="lt-LT"/>
        </w:rPr>
        <w:t>Vertinimo objektas</w:t>
      </w:r>
    </w:p>
    <w:p w14:paraId="12D72B73" w14:textId="77777777" w:rsidR="0050229E" w:rsidRPr="00A9486C" w:rsidRDefault="0050229E" w:rsidP="0050229E">
      <w:pPr>
        <w:rPr>
          <w:szCs w:val="24"/>
          <w:lang w:eastAsia="lt-LT"/>
        </w:rPr>
      </w:pPr>
    </w:p>
    <w:p w14:paraId="63AA8A6E" w14:textId="77777777" w:rsidR="0050229E" w:rsidRPr="00A9486C" w:rsidRDefault="0050229E" w:rsidP="0050229E">
      <w:pPr>
        <w:jc w:val="both"/>
        <w:rPr>
          <w:szCs w:val="24"/>
          <w:lang w:eastAsia="lt-LT"/>
        </w:rPr>
      </w:pPr>
      <w:r w:rsidRPr="00A9486C">
        <w:rPr>
          <w:szCs w:val="24"/>
          <w:lang w:eastAsia="lt-LT"/>
        </w:rPr>
        <w:t xml:space="preserve">Įgyvendinant techninės specifikacijos 4.1–4.2 papunkčiuose nurodytus uždavinius, vertinimo objektas yra </w:t>
      </w:r>
      <w:r w:rsidRPr="00A9486C">
        <w:rPr>
          <w:bCs/>
          <w:iCs/>
          <w:szCs w:val="24"/>
          <w:lang w:eastAsia="lt-LT"/>
        </w:rPr>
        <w:t>Lietuvos BŽŪP SP projektas ir jo patobulintos redakcijos.</w:t>
      </w:r>
      <w:r w:rsidRPr="00A9486C">
        <w:rPr>
          <w:szCs w:val="24"/>
          <w:lang w:eastAsia="lt-LT"/>
        </w:rPr>
        <w:t xml:space="preserve"> </w:t>
      </w:r>
    </w:p>
    <w:p w14:paraId="208D8BE2" w14:textId="77777777" w:rsidR="0050229E" w:rsidRPr="00A9486C" w:rsidRDefault="0050229E" w:rsidP="0050229E">
      <w:pPr>
        <w:jc w:val="both"/>
        <w:rPr>
          <w:bCs/>
          <w:iCs/>
          <w:szCs w:val="24"/>
          <w:lang w:eastAsia="lt-LT"/>
        </w:rPr>
      </w:pPr>
    </w:p>
    <w:p w14:paraId="713C227C"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rPr>
          <w:szCs w:val="24"/>
          <w:lang w:eastAsia="lt-LT"/>
        </w:rPr>
      </w:pPr>
      <w:r w:rsidRPr="00A9486C">
        <w:rPr>
          <w:b/>
          <w:szCs w:val="24"/>
          <w:lang w:eastAsia="lt-LT"/>
        </w:rPr>
        <w:t>Vertinimo veiklų aprašymas</w:t>
      </w:r>
      <w:r w:rsidRPr="00A9486C">
        <w:rPr>
          <w:szCs w:val="24"/>
          <w:lang w:eastAsia="lt-LT"/>
        </w:rPr>
        <w:t xml:space="preserve"> </w:t>
      </w:r>
    </w:p>
    <w:p w14:paraId="2B03D088" w14:textId="77777777" w:rsidR="0050229E" w:rsidRPr="00A9486C" w:rsidRDefault="0050229E" w:rsidP="0050229E">
      <w:pPr>
        <w:jc w:val="both"/>
        <w:rPr>
          <w:szCs w:val="24"/>
          <w:lang w:eastAsia="lt-LT"/>
        </w:rPr>
      </w:pPr>
    </w:p>
    <w:p w14:paraId="4C63B105"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lastRenderedPageBreak/>
        <w:t>Per 10 kalendorinių dienų nuo sutarties pasirašymo turės būti suorganizuotas įvadinis paslaugų teikėjo ir Ministerijos atstovų susitikimas, kurio metu turės būti aptartos planuojamos vertinimo veiklos ir jų grafikas, vertinimo metodika, aptartos vertinimo prielaidos ir rizikos, išsakyti Ministerijos ir vertintojų lūkesčiai bei poreikiai.</w:t>
      </w:r>
    </w:p>
    <w:p w14:paraId="278AEED3" w14:textId="77777777" w:rsidR="0050229E" w:rsidRPr="00A9486C" w:rsidRDefault="0050229E" w:rsidP="0050229E">
      <w:pPr>
        <w:jc w:val="both"/>
        <w:rPr>
          <w:szCs w:val="24"/>
          <w:lang w:eastAsia="lt-LT"/>
        </w:rPr>
      </w:pPr>
    </w:p>
    <w:p w14:paraId="17F8DE9C"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Įgyvendinant techninės specifikacijos 4.1 papunktyje įvardytą uždavinį, turės būti atliktas </w:t>
      </w:r>
      <w:r w:rsidRPr="00A9486C">
        <w:rPr>
          <w:b/>
          <w:szCs w:val="24"/>
          <w:lang w:eastAsia="lt-LT"/>
        </w:rPr>
        <w:t xml:space="preserve">Lietuvos BŽŪP SP </w:t>
      </w:r>
      <w:proofErr w:type="spellStart"/>
      <w:r w:rsidRPr="00A9486C">
        <w:rPr>
          <w:szCs w:val="24"/>
          <w:lang w:eastAsia="lt-LT"/>
        </w:rPr>
        <w:t>ex</w:t>
      </w:r>
      <w:proofErr w:type="spellEnd"/>
      <w:r w:rsidRPr="00A9486C">
        <w:rPr>
          <w:szCs w:val="24"/>
          <w:lang w:eastAsia="lt-LT"/>
        </w:rPr>
        <w:t xml:space="preserve"> ante vertinimas SP reglamento 125 straipsnyje numatytais aspektais ir apimtimi. Pagrindinės SP </w:t>
      </w:r>
      <w:proofErr w:type="spellStart"/>
      <w:r w:rsidRPr="00A9486C">
        <w:rPr>
          <w:szCs w:val="24"/>
          <w:lang w:eastAsia="lt-LT"/>
        </w:rPr>
        <w:t>ex</w:t>
      </w:r>
      <w:proofErr w:type="spellEnd"/>
      <w:r w:rsidRPr="00A9486C">
        <w:rPr>
          <w:szCs w:val="24"/>
          <w:lang w:eastAsia="lt-LT"/>
        </w:rPr>
        <w:t xml:space="preserve"> ante dalys </w:t>
      </w:r>
      <w:r w:rsidRPr="00A9486C">
        <w:rPr>
          <w:szCs w:val="24"/>
          <w:vertAlign w:val="superscript"/>
          <w:lang w:eastAsia="lt-LT"/>
        </w:rPr>
        <w:footnoteReference w:id="16"/>
      </w:r>
      <w:r w:rsidRPr="00A9486C">
        <w:rPr>
          <w:szCs w:val="24"/>
          <w:lang w:eastAsia="lt-LT"/>
        </w:rPr>
        <w:t xml:space="preserve">(neįskaitant SP SPAV): </w:t>
      </w:r>
    </w:p>
    <w:p w14:paraId="4180C4DD" w14:textId="77777777" w:rsidR="0050229E" w:rsidRPr="00A9486C" w:rsidRDefault="0050229E" w:rsidP="0050229E">
      <w:pPr>
        <w:numPr>
          <w:ilvl w:val="2"/>
          <w:numId w:val="2"/>
        </w:numPr>
        <w:tabs>
          <w:tab w:val="left" w:pos="426"/>
        </w:tabs>
        <w:autoSpaceDE w:val="0"/>
        <w:autoSpaceDN w:val="0"/>
        <w:adjustRightInd w:val="0"/>
        <w:spacing w:after="200" w:line="276" w:lineRule="auto"/>
        <w:contextualSpacing/>
        <w:jc w:val="both"/>
        <w:rPr>
          <w:szCs w:val="24"/>
          <w:lang w:eastAsia="lt-LT"/>
        </w:rPr>
      </w:pPr>
      <w:r w:rsidRPr="00A9486C">
        <w:rPr>
          <w:szCs w:val="24"/>
          <w:lang w:eastAsia="lt-LT"/>
        </w:rPr>
        <w:t>Situacijos analizės, SSGG ir poreikių vertinimas;</w:t>
      </w:r>
    </w:p>
    <w:p w14:paraId="040D22FD" w14:textId="77777777" w:rsidR="0050229E" w:rsidRPr="00A9486C" w:rsidRDefault="0050229E" w:rsidP="0050229E">
      <w:pPr>
        <w:numPr>
          <w:ilvl w:val="2"/>
          <w:numId w:val="2"/>
        </w:numPr>
        <w:tabs>
          <w:tab w:val="left" w:pos="426"/>
        </w:tabs>
        <w:autoSpaceDE w:val="0"/>
        <w:autoSpaceDN w:val="0"/>
        <w:adjustRightInd w:val="0"/>
        <w:spacing w:after="200" w:line="276" w:lineRule="auto"/>
        <w:contextualSpacing/>
        <w:jc w:val="both"/>
        <w:rPr>
          <w:szCs w:val="24"/>
          <w:lang w:eastAsia="lt-LT"/>
        </w:rPr>
      </w:pPr>
      <w:r w:rsidRPr="00A9486C">
        <w:rPr>
          <w:szCs w:val="24"/>
          <w:lang w:eastAsia="lt-LT"/>
        </w:rPr>
        <w:t>Intervencijos strategijos, rodiklių, ir lėšų paskirstymo vertinimas;</w:t>
      </w:r>
    </w:p>
    <w:p w14:paraId="0703E914" w14:textId="77777777" w:rsidR="0050229E" w:rsidRPr="00A9486C" w:rsidRDefault="0050229E" w:rsidP="0050229E">
      <w:pPr>
        <w:numPr>
          <w:ilvl w:val="2"/>
          <w:numId w:val="2"/>
        </w:numPr>
        <w:tabs>
          <w:tab w:val="left" w:pos="426"/>
        </w:tabs>
        <w:autoSpaceDE w:val="0"/>
        <w:autoSpaceDN w:val="0"/>
        <w:adjustRightInd w:val="0"/>
        <w:spacing w:after="200" w:line="276" w:lineRule="auto"/>
        <w:contextualSpacing/>
        <w:jc w:val="both"/>
        <w:rPr>
          <w:szCs w:val="24"/>
          <w:lang w:eastAsia="lt-LT"/>
        </w:rPr>
      </w:pPr>
      <w:r w:rsidRPr="00A9486C">
        <w:rPr>
          <w:szCs w:val="24"/>
          <w:lang w:eastAsia="lt-LT"/>
        </w:rPr>
        <w:t>Stebėsenos, duomenų rinkimo ir SP įgyvendinimo sistemos vertinimas (jei ES teisės aktuose nebus numatyta kitaip)</w:t>
      </w:r>
    </w:p>
    <w:p w14:paraId="3C115B57" w14:textId="77777777" w:rsidR="0050229E" w:rsidRPr="00A9486C" w:rsidRDefault="0050229E" w:rsidP="0050229E">
      <w:pPr>
        <w:tabs>
          <w:tab w:val="left" w:pos="426"/>
        </w:tabs>
        <w:autoSpaceDE w:val="0"/>
        <w:autoSpaceDN w:val="0"/>
        <w:adjustRightInd w:val="0"/>
        <w:jc w:val="both"/>
        <w:rPr>
          <w:szCs w:val="24"/>
          <w:lang w:eastAsia="lt-LT"/>
        </w:rPr>
      </w:pPr>
      <w:r w:rsidRPr="00A9486C">
        <w:rPr>
          <w:szCs w:val="24"/>
          <w:lang w:eastAsia="lt-LT"/>
        </w:rPr>
        <w:t xml:space="preserve">7.2.1-7.2.3 papunkčiuose nurodytos dalys ir informacija vertintojams gali būti perduodama ir vertinimas atliekamas dalimis. </w:t>
      </w:r>
    </w:p>
    <w:p w14:paraId="00E9DF7E" w14:textId="77777777" w:rsidR="0050229E" w:rsidRPr="00A9486C" w:rsidRDefault="0050229E" w:rsidP="0050229E">
      <w:pPr>
        <w:tabs>
          <w:tab w:val="left" w:pos="426"/>
        </w:tabs>
        <w:autoSpaceDE w:val="0"/>
        <w:autoSpaceDN w:val="0"/>
        <w:adjustRightInd w:val="0"/>
        <w:contextualSpacing/>
        <w:jc w:val="both"/>
        <w:rPr>
          <w:szCs w:val="24"/>
          <w:lang w:eastAsia="lt-LT"/>
        </w:rPr>
      </w:pPr>
      <w:r w:rsidRPr="00A9486C">
        <w:rPr>
          <w:b/>
          <w:szCs w:val="24"/>
          <w:lang w:eastAsia="lt-LT"/>
        </w:rPr>
        <w:t xml:space="preserve">SP SPAV </w:t>
      </w:r>
      <w:r w:rsidRPr="00A9486C">
        <w:rPr>
          <w:szCs w:val="24"/>
          <w:lang w:eastAsia="lt-LT"/>
        </w:rPr>
        <w:t xml:space="preserve">turi būti atliktas </w:t>
      </w:r>
      <w:r>
        <w:rPr>
          <w:szCs w:val="24"/>
          <w:lang w:eastAsia="lt-LT"/>
        </w:rPr>
        <w:t xml:space="preserve">laikantis Strateginių planų reglamento, </w:t>
      </w:r>
      <w:r w:rsidRPr="00A9486C">
        <w:rPr>
          <w:szCs w:val="24"/>
          <w:lang w:eastAsia="lt-LT"/>
        </w:rPr>
        <w:t>Direktyvos 2001/42/EB</w:t>
      </w:r>
      <w:r>
        <w:rPr>
          <w:szCs w:val="24"/>
          <w:lang w:eastAsia="lt-LT"/>
        </w:rPr>
        <w:t>,</w:t>
      </w:r>
      <w:r w:rsidRPr="00A9486C">
        <w:rPr>
          <w:szCs w:val="24"/>
          <w:lang w:eastAsia="lt-LT"/>
        </w:rPr>
        <w:t xml:space="preserve"> ir Lietuvos Respublikos Vyriausybės 2004 m. rugpjūčio 18 d. nutarimo Nr. 967</w:t>
      </w:r>
      <w:r>
        <w:rPr>
          <w:szCs w:val="24"/>
          <w:lang w:eastAsia="lt-LT"/>
        </w:rPr>
        <w:t>,</w:t>
      </w:r>
      <w:r w:rsidRPr="00A9486C">
        <w:rPr>
          <w:szCs w:val="24"/>
          <w:lang w:eastAsia="lt-LT"/>
        </w:rPr>
        <w:t xml:space="preserve"> </w:t>
      </w:r>
      <w:r>
        <w:rPr>
          <w:szCs w:val="24"/>
          <w:lang w:eastAsia="lt-LT"/>
        </w:rPr>
        <w:t xml:space="preserve">reikalavimų bei šių dokumentų </w:t>
      </w:r>
      <w:r w:rsidRPr="00A9486C">
        <w:rPr>
          <w:szCs w:val="24"/>
          <w:lang w:eastAsia="lt-LT"/>
        </w:rPr>
        <w:t xml:space="preserve">nustatyta apimtimi, ypatingai </w:t>
      </w:r>
      <w:r w:rsidRPr="00A9486C">
        <w:rPr>
          <w:szCs w:val="24"/>
          <w:lang w:eastAsia="lt-LT" w:bidi="lt-LT"/>
        </w:rPr>
        <w:t>atsižvelgiant į būtinybę švelninti klimato kaitą</w:t>
      </w:r>
      <w:r w:rsidRPr="00A9486C">
        <w:rPr>
          <w:szCs w:val="24"/>
          <w:lang w:eastAsia="lt-LT"/>
        </w:rPr>
        <w:t xml:space="preserve">. Strateginio pasekmių aplinkai vertinimo veiklos turės būti vykdomos lygiagrečiai kitoms SP </w:t>
      </w:r>
      <w:proofErr w:type="spellStart"/>
      <w:r w:rsidRPr="00A9486C">
        <w:rPr>
          <w:szCs w:val="24"/>
          <w:lang w:eastAsia="lt-LT"/>
        </w:rPr>
        <w:t>ex</w:t>
      </w:r>
      <w:proofErr w:type="spellEnd"/>
      <w:r w:rsidRPr="00A9486C">
        <w:rPr>
          <w:szCs w:val="24"/>
          <w:lang w:eastAsia="lt-LT"/>
        </w:rPr>
        <w:t xml:space="preserve"> ante vertinimo veikloms. SP SPAV atlikimo metu paslaugų tiekėjas privalės: </w:t>
      </w:r>
      <w:r>
        <w:rPr>
          <w:szCs w:val="24"/>
          <w:lang w:eastAsia="lt-LT"/>
        </w:rPr>
        <w:t xml:space="preserve">suorganizuoti ir (ar) </w:t>
      </w:r>
      <w:r w:rsidRPr="00A9486C">
        <w:rPr>
          <w:szCs w:val="24"/>
          <w:lang w:eastAsia="lt-LT"/>
        </w:rPr>
        <w:t xml:space="preserve">atlikti </w:t>
      </w:r>
      <w:r>
        <w:rPr>
          <w:szCs w:val="24"/>
          <w:lang w:eastAsia="lt-LT"/>
        </w:rPr>
        <w:t xml:space="preserve">visas </w:t>
      </w:r>
      <w:r w:rsidRPr="00A9486C">
        <w:rPr>
          <w:szCs w:val="24"/>
          <w:lang w:eastAsia="lt-LT"/>
        </w:rPr>
        <w:t>privalomas strateginio pasekmių aplinkai vertinimo procedūras, įskaitant konsultacijas su visuomene; nustatyti, apibūdinti ir įvertinti galimas reikšmingas Lietuvos BŽŪP SP</w:t>
      </w:r>
      <w:r w:rsidRPr="00A9486C" w:rsidDel="00AD10D7">
        <w:rPr>
          <w:szCs w:val="24"/>
          <w:lang w:eastAsia="lt-LT"/>
        </w:rPr>
        <w:t xml:space="preserve"> </w:t>
      </w:r>
      <w:r w:rsidRPr="00A9486C">
        <w:rPr>
          <w:szCs w:val="24"/>
          <w:lang w:eastAsia="lt-LT"/>
        </w:rPr>
        <w:t>įgyvendinimo pasekmes aplinkai; numatyti priemones strateginio plano įgyvendinimo reikšmingoms neigiamoms pasekmėms aplinkai išvengti, sumažinti ar kompensuoti; pasiūlyti stebėsenos rodiklius, tinkamus stebėti ir vertinti Lietuvos BŽŪP SP poveikį aplinkai; pateikti pasiūlymų, kaip patobulinti Lietuvos BŽŪP SP, kad jo įgyvendinimas turėtų reikšmingai teigiamą poveikį aplinkai; atlikti kitus pagal teisės aktų reikalavimus SPAV privalomus veiksmus. Informavimo apie Lietuvos BŽŪP SP</w:t>
      </w:r>
      <w:r w:rsidRPr="00A9486C">
        <w:rPr>
          <w:b/>
          <w:szCs w:val="24"/>
          <w:lang w:eastAsia="lt-LT"/>
        </w:rPr>
        <w:t xml:space="preserve"> </w:t>
      </w:r>
      <w:r w:rsidRPr="00A9486C">
        <w:rPr>
          <w:szCs w:val="24"/>
          <w:lang w:eastAsia="lt-LT"/>
        </w:rPr>
        <w:t>projektą ir jo SPAV procedūra turi būti atlikta vadovaujantis LR aplinkos ministro 2004 m. rugpjūčio 27 d. įsakymu Nr. D1-455 „Dėl visuomenės dalyvavimo planų ir programų strateginio pasekmių aplinkai vertinimo procedūrose bei vertinimo subjektų, Europos Sąjungos valstybių narių ir kitų užsienio valstybių informavimo tvarkos aprašo patvirtinimo“</w:t>
      </w:r>
      <w:r w:rsidRPr="00A9486C">
        <w:rPr>
          <w:szCs w:val="24"/>
          <w:vertAlign w:val="superscript"/>
          <w:lang w:eastAsia="lt-LT"/>
        </w:rPr>
        <w:footnoteReference w:id="17"/>
      </w:r>
      <w:r w:rsidRPr="00A9486C">
        <w:rPr>
          <w:szCs w:val="24"/>
          <w:lang w:eastAsia="lt-LT"/>
        </w:rPr>
        <w:t>.</w:t>
      </w:r>
    </w:p>
    <w:p w14:paraId="272F91CF"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Techninės specifikacijos 4.2 papunktyje įvardytas FP </w:t>
      </w:r>
      <w:proofErr w:type="spellStart"/>
      <w:r w:rsidRPr="00A9486C">
        <w:rPr>
          <w:szCs w:val="24"/>
          <w:lang w:eastAsia="lt-LT"/>
        </w:rPr>
        <w:t>ex</w:t>
      </w:r>
      <w:proofErr w:type="spellEnd"/>
      <w:r w:rsidRPr="00A9486C">
        <w:rPr>
          <w:szCs w:val="24"/>
          <w:lang w:eastAsia="lt-LT"/>
        </w:rPr>
        <w:t xml:space="preserve"> ante vertinimas apims </w:t>
      </w:r>
      <w:r>
        <w:rPr>
          <w:szCs w:val="24"/>
          <w:lang w:eastAsia="lt-LT"/>
        </w:rPr>
        <w:t xml:space="preserve">paramą ekonominei veiklai </w:t>
      </w:r>
      <w:r w:rsidRPr="00A9486C">
        <w:rPr>
          <w:szCs w:val="24"/>
          <w:lang w:eastAsia="lt-LT"/>
        </w:rPr>
        <w:t xml:space="preserve">žemės ūkio ir </w:t>
      </w:r>
      <w:r>
        <w:rPr>
          <w:szCs w:val="24"/>
          <w:lang w:eastAsia="lt-LT"/>
        </w:rPr>
        <w:t>kaimo plėtros srityse</w:t>
      </w:r>
      <w:r w:rsidRPr="00A9486C">
        <w:rPr>
          <w:szCs w:val="24"/>
          <w:lang w:eastAsia="lt-LT"/>
        </w:rPr>
        <w:t xml:space="preserve">. Šis vertinimas bus įgyvendinamas etapais.  </w:t>
      </w:r>
      <w:r w:rsidRPr="00A9486C">
        <w:rPr>
          <w:b/>
          <w:bCs/>
          <w:szCs w:val="24"/>
          <w:lang w:eastAsia="lt-LT"/>
        </w:rPr>
        <w:t>Pirmajame</w:t>
      </w:r>
      <w:r w:rsidRPr="00A9486C">
        <w:rPr>
          <w:szCs w:val="24"/>
          <w:lang w:eastAsia="lt-LT"/>
        </w:rPr>
        <w:t xml:space="preserve"> jo įgyvendinimo etape, kurio veiklos turėtų prasidėti netrukus po Sutarties dėl šių paslaugų pasirašymo, turės būti atliktas </w:t>
      </w:r>
      <w:r w:rsidRPr="00367525">
        <w:rPr>
          <w:b/>
          <w:bCs/>
          <w:szCs w:val="24"/>
          <w:lang w:eastAsia="lt-LT"/>
        </w:rPr>
        <w:t>galimybių</w:t>
      </w:r>
      <w:r w:rsidRPr="00A9486C">
        <w:rPr>
          <w:szCs w:val="24"/>
          <w:lang w:eastAsia="lt-LT"/>
        </w:rPr>
        <w:t xml:space="preserve"> </w:t>
      </w:r>
      <w:r>
        <w:rPr>
          <w:szCs w:val="24"/>
          <w:lang w:eastAsia="lt-LT"/>
        </w:rPr>
        <w:t xml:space="preserve">į </w:t>
      </w:r>
      <w:r w:rsidRPr="00A9486C">
        <w:rPr>
          <w:bCs/>
          <w:szCs w:val="24"/>
          <w:lang w:eastAsia="lt-LT"/>
        </w:rPr>
        <w:t>Lietuvos BŽŪP SP</w:t>
      </w:r>
      <w:r w:rsidRPr="00A9486C">
        <w:rPr>
          <w:b/>
          <w:szCs w:val="24"/>
          <w:lang w:eastAsia="lt-LT"/>
        </w:rPr>
        <w:t xml:space="preserve"> </w:t>
      </w:r>
      <w:r w:rsidRPr="00367525">
        <w:rPr>
          <w:bCs/>
          <w:szCs w:val="24"/>
          <w:lang w:eastAsia="lt-LT"/>
        </w:rPr>
        <w:t>įtraukti paramą</w:t>
      </w:r>
      <w:r>
        <w:rPr>
          <w:b/>
          <w:szCs w:val="24"/>
          <w:lang w:eastAsia="lt-LT"/>
        </w:rPr>
        <w:t xml:space="preserve"> </w:t>
      </w:r>
      <w:r w:rsidRPr="00367525">
        <w:rPr>
          <w:bCs/>
          <w:szCs w:val="24"/>
          <w:lang w:eastAsia="lt-LT"/>
        </w:rPr>
        <w:t xml:space="preserve">verslui </w:t>
      </w:r>
      <w:r w:rsidRPr="00A9486C">
        <w:rPr>
          <w:b/>
          <w:szCs w:val="24"/>
          <w:lang w:eastAsia="lt-LT"/>
        </w:rPr>
        <w:t xml:space="preserve"> </w:t>
      </w:r>
      <w:r w:rsidRPr="00A9486C">
        <w:rPr>
          <w:szCs w:val="24"/>
          <w:lang w:eastAsia="lt-LT"/>
        </w:rPr>
        <w:t>finansin</w:t>
      </w:r>
      <w:r>
        <w:rPr>
          <w:szCs w:val="24"/>
          <w:lang w:eastAsia="lt-LT"/>
        </w:rPr>
        <w:t>ėmis</w:t>
      </w:r>
      <w:r w:rsidRPr="00A9486C">
        <w:rPr>
          <w:szCs w:val="24"/>
          <w:lang w:eastAsia="lt-LT"/>
        </w:rPr>
        <w:t xml:space="preserve"> priemon</w:t>
      </w:r>
      <w:r>
        <w:rPr>
          <w:szCs w:val="24"/>
          <w:lang w:eastAsia="lt-LT"/>
        </w:rPr>
        <w:t>ėmis</w:t>
      </w:r>
      <w:r w:rsidRPr="00B047A0">
        <w:rPr>
          <w:bCs/>
          <w:szCs w:val="24"/>
          <w:lang w:eastAsia="lt-LT"/>
        </w:rPr>
        <w:t xml:space="preserve"> </w:t>
      </w:r>
      <w:r>
        <w:rPr>
          <w:szCs w:val="24"/>
          <w:lang w:eastAsia="lt-LT"/>
        </w:rPr>
        <w:t xml:space="preserve">įvairiose žemės ūkio ir kaimo plėtros srityse </w:t>
      </w:r>
      <w:r w:rsidRPr="00A9486C">
        <w:rPr>
          <w:szCs w:val="24"/>
          <w:lang w:eastAsia="lt-LT"/>
        </w:rPr>
        <w:t>vertinimas. Šis vertinimas turėtų būti glaudžiai siejamas su kitomis vertinimo dalimis</w:t>
      </w:r>
      <w:r>
        <w:rPr>
          <w:szCs w:val="24"/>
          <w:lang w:eastAsia="lt-LT"/>
        </w:rPr>
        <w:t xml:space="preserve"> ir Strateginio plano rengimu</w:t>
      </w:r>
      <w:r w:rsidRPr="00A9486C">
        <w:rPr>
          <w:szCs w:val="24"/>
          <w:lang w:eastAsia="lt-LT"/>
        </w:rPr>
        <w:t xml:space="preserve">. Jo pabaigoje, be kita ko, turės būti pateiktos išvados ir siūlymai dėl finansuotinų žemės ūkio </w:t>
      </w:r>
      <w:r>
        <w:rPr>
          <w:szCs w:val="24"/>
          <w:lang w:eastAsia="lt-LT"/>
        </w:rPr>
        <w:t xml:space="preserve">ir kaimo plėtros </w:t>
      </w:r>
      <w:r w:rsidRPr="00A9486C">
        <w:rPr>
          <w:szCs w:val="24"/>
          <w:lang w:eastAsia="lt-LT"/>
        </w:rPr>
        <w:t xml:space="preserve">sričių ir jose nustatyto finansavimo trūkumo, taip pat </w:t>
      </w:r>
      <w:r w:rsidRPr="00A9486C">
        <w:rPr>
          <w:bCs/>
          <w:szCs w:val="24"/>
          <w:lang w:eastAsia="lt-LT"/>
        </w:rPr>
        <w:t>finansinių priemonių ir produktų,</w:t>
      </w:r>
      <w:r w:rsidRPr="00A9486C">
        <w:rPr>
          <w:szCs w:val="24"/>
          <w:lang w:eastAsia="lt-LT"/>
        </w:rPr>
        <w:t xml:space="preserve"> kuriuos būtų tikslinga</w:t>
      </w:r>
      <w:r w:rsidRPr="00A9486C">
        <w:rPr>
          <w:bCs/>
          <w:szCs w:val="24"/>
          <w:lang w:eastAsia="lt-LT"/>
        </w:rPr>
        <w:t xml:space="preserve"> įtraukti į Lietuvos BŽŪP SP</w:t>
      </w:r>
      <w:r w:rsidRPr="00A9486C">
        <w:rPr>
          <w:szCs w:val="24"/>
          <w:lang w:eastAsia="lt-LT"/>
        </w:rPr>
        <w:t xml:space="preserve">. </w:t>
      </w:r>
      <w:r w:rsidRPr="00A9486C">
        <w:rPr>
          <w:b/>
          <w:bCs/>
          <w:szCs w:val="24"/>
          <w:lang w:eastAsia="lt-LT"/>
        </w:rPr>
        <w:t>Antrajame</w:t>
      </w:r>
      <w:r w:rsidRPr="00A9486C">
        <w:rPr>
          <w:szCs w:val="24"/>
          <w:lang w:eastAsia="lt-LT"/>
        </w:rPr>
        <w:t xml:space="preserve"> etape turėtų vykti užsakovo ir paslaugų teikėjo konsultacijos dėl pasirinktų FP įtraukimo į </w:t>
      </w:r>
      <w:r w:rsidRPr="00A9486C">
        <w:rPr>
          <w:bCs/>
          <w:szCs w:val="24"/>
          <w:lang w:eastAsia="lt-LT"/>
        </w:rPr>
        <w:t>Lietuvos BŽŪP SP ir atitinkamų SP dalių aprašymų.</w:t>
      </w:r>
      <w:r w:rsidRPr="00A9486C">
        <w:rPr>
          <w:szCs w:val="24"/>
          <w:lang w:eastAsia="lt-LT"/>
        </w:rPr>
        <w:t xml:space="preserve"> Antrojo etapo pabaigoje </w:t>
      </w:r>
      <w:r>
        <w:rPr>
          <w:szCs w:val="24"/>
          <w:lang w:eastAsia="lt-LT"/>
        </w:rPr>
        <w:t xml:space="preserve">taip pat </w:t>
      </w:r>
      <w:r w:rsidRPr="00A9486C">
        <w:rPr>
          <w:szCs w:val="24"/>
          <w:lang w:eastAsia="lt-LT"/>
        </w:rPr>
        <w:t xml:space="preserve">turi būti pateikta atskira FP </w:t>
      </w:r>
      <w:proofErr w:type="spellStart"/>
      <w:r w:rsidRPr="00A9486C">
        <w:rPr>
          <w:szCs w:val="24"/>
          <w:lang w:eastAsia="lt-LT"/>
        </w:rPr>
        <w:t>ex</w:t>
      </w:r>
      <w:proofErr w:type="spellEnd"/>
      <w:r w:rsidRPr="00A9486C">
        <w:rPr>
          <w:szCs w:val="24"/>
          <w:lang w:eastAsia="lt-LT"/>
        </w:rPr>
        <w:t xml:space="preserve"> ante vertinimo ataskaita pagal BNR 52 straipsnio ir SPR reikalavimus.</w:t>
      </w:r>
      <w:r>
        <w:rPr>
          <w:szCs w:val="24"/>
          <w:lang w:eastAsia="lt-LT"/>
        </w:rPr>
        <w:t xml:space="preserve"> </w:t>
      </w:r>
      <w:r w:rsidRPr="00A9486C">
        <w:rPr>
          <w:szCs w:val="24"/>
          <w:lang w:eastAsia="lt-LT"/>
        </w:rPr>
        <w:t xml:space="preserve">Vykdant šias veiklas turės būti maksimaliai atsižvelgta į </w:t>
      </w:r>
      <w:r w:rsidRPr="00A9486C">
        <w:rPr>
          <w:szCs w:val="24"/>
          <w:lang w:eastAsia="lt-LT"/>
        </w:rPr>
        <w:lastRenderedPageBreak/>
        <w:t xml:space="preserve">rekomendacijas, pateiktas metodiniame dokumente </w:t>
      </w:r>
      <w:r w:rsidRPr="00A9486C">
        <w:rPr>
          <w:i/>
          <w:iCs/>
          <w:szCs w:val="24"/>
          <w:lang w:val="en" w:eastAsia="lt-LT"/>
        </w:rPr>
        <w:t>Methodological handbook for implementing an ex-ante assessment of agriculture financial instruments under the EAFRD</w:t>
      </w:r>
      <w:r w:rsidRPr="00A9486C">
        <w:rPr>
          <w:rStyle w:val="Puslapioinaosnuoroda"/>
          <w:i/>
          <w:iCs/>
          <w:szCs w:val="24"/>
          <w:lang w:val="en" w:eastAsia="lt-LT"/>
        </w:rPr>
        <w:footnoteReference w:id="18"/>
      </w:r>
      <w:r w:rsidRPr="00A9486C">
        <w:rPr>
          <w:szCs w:val="24"/>
          <w:lang w:val="en" w:eastAsia="lt-LT"/>
        </w:rPr>
        <w:t>.</w:t>
      </w:r>
      <w:r w:rsidRPr="00A9486C">
        <w:rPr>
          <w:szCs w:val="24"/>
          <w:lang w:eastAsia="lt-LT"/>
        </w:rPr>
        <w:t xml:space="preserve"> </w:t>
      </w:r>
    </w:p>
    <w:p w14:paraId="66F96C0B"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Vykdant vertinimo veiklas turės būti užtikrintas konsultavimosi bei glaudaus bendradarbiavimo tarp paslaugų teikėjo ir atsakingų institucijų bei kitų suinteresuotų pusių procesas. Šiam tikslui paslaugų teikėjas turės pasiūlyti ir taikyti interaktyvų ir iteracinį vertinimo procesą užtikrinančias priemones, organizuoti susitikimus, darbinius pasitarimus su Lietuvos BŽŪP SP</w:t>
      </w:r>
      <w:r w:rsidRPr="00A9486C">
        <w:rPr>
          <w:b/>
          <w:szCs w:val="24"/>
          <w:lang w:eastAsia="lt-LT"/>
        </w:rPr>
        <w:t xml:space="preserve"> </w:t>
      </w:r>
      <w:r w:rsidRPr="00A9486C">
        <w:rPr>
          <w:szCs w:val="24"/>
          <w:lang w:eastAsia="lt-LT"/>
        </w:rPr>
        <w:t>rengimo procese dalyvaujančiomis institucijomis, taip pat organizuoti vertinimo rezultatų pristatymo renginius. Vertinimo eigai ir rezultatams aptarti su atsakingomis institucijomis ir socialiniais ekonominiais partneriais tiekėjas turės suorganizuoti ne mažiau nei techninėje specifikacijoje numatyta tarpinių ar galutinių rezultatų pristatymų. Kiekvienam pristatymui turės būti parengtas trumpas pristatymo aprašymas (pristatymo tema, objektas, tikslas, tikslinė auditorija, darbotvarkė, dalyvių sąrašas ir kt. reikalinga informacija) ir, pagal poreikį, parengiamas pristatymo protokolas. Pristatymo renginių patalpų ir įrangos nuomos, dalyvių maitinimo ir apgyvendinimo, transporto nuomos išlaidas (jei tokių būtų), apmokės užsakovas. Be to, Ministerija savo iniciatyva ir lėšomis gali organizuoti papildomus renginius, į kuriuos būtų kviečiami paslaugų teikėjo ekspertai pristatyti vertinimo rezultatus.</w:t>
      </w:r>
    </w:p>
    <w:p w14:paraId="09B2D008"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Tinkamai pagrindęs ir suderinęs su užsakovu, paslaugų teikėjas bet kuriame paslaugų teikimo etape galės siūlyti įgyvendinti kitokį vertinimo veiklų planą, galintį pagerinti teikiamų paslaugų kokybę ar jų suteikimo procesą, įskaitant 9 ir 11 punktuose nurodytų ataskaitų turinį ir jų pateikimo terminus.</w:t>
      </w:r>
    </w:p>
    <w:p w14:paraId="2BE37F9A" w14:textId="77777777" w:rsidR="0050229E" w:rsidRPr="00A9486C" w:rsidRDefault="0050229E" w:rsidP="0050229E">
      <w:pPr>
        <w:rPr>
          <w:szCs w:val="24"/>
          <w:lang w:eastAsia="lt-LT"/>
        </w:rPr>
      </w:pPr>
    </w:p>
    <w:p w14:paraId="51A2EF5E"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rPr>
          <w:szCs w:val="24"/>
          <w:lang w:eastAsia="lt-LT"/>
        </w:rPr>
      </w:pPr>
      <w:r w:rsidRPr="00A9486C">
        <w:rPr>
          <w:b/>
          <w:szCs w:val="24"/>
          <w:lang w:eastAsia="lt-LT"/>
        </w:rPr>
        <w:t>Vertinimo metodika</w:t>
      </w:r>
    </w:p>
    <w:p w14:paraId="72C5BA5E" w14:textId="77777777" w:rsidR="0050229E" w:rsidRPr="00A9486C" w:rsidRDefault="0050229E" w:rsidP="0050229E">
      <w:pPr>
        <w:jc w:val="both"/>
        <w:rPr>
          <w:szCs w:val="24"/>
          <w:lang w:eastAsia="lt-LT"/>
        </w:rPr>
      </w:pPr>
    </w:p>
    <w:p w14:paraId="268BA475"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bCs/>
          <w:szCs w:val="24"/>
          <w:lang w:eastAsia="lt-LT"/>
        </w:rPr>
      </w:pPr>
      <w:r w:rsidRPr="00A9486C">
        <w:rPr>
          <w:bCs/>
          <w:szCs w:val="24"/>
          <w:lang w:eastAsia="lt-LT"/>
        </w:rPr>
        <w:t xml:space="preserve">Paslaugų teikėjas vertinimus atliks atsižvelgdamas į ES ir nacionalinius teisės aktų reikalavimus bei metodines rekomendacijas dėl </w:t>
      </w:r>
      <w:proofErr w:type="spellStart"/>
      <w:r w:rsidRPr="00A9486C">
        <w:rPr>
          <w:bCs/>
          <w:szCs w:val="24"/>
          <w:lang w:eastAsia="lt-LT"/>
        </w:rPr>
        <w:t>ex</w:t>
      </w:r>
      <w:proofErr w:type="spellEnd"/>
      <w:r w:rsidRPr="00A9486C">
        <w:rPr>
          <w:bCs/>
          <w:szCs w:val="24"/>
          <w:lang w:eastAsia="lt-LT"/>
        </w:rPr>
        <w:t xml:space="preserve"> ante vertinimo, SPAV, FP </w:t>
      </w:r>
      <w:proofErr w:type="spellStart"/>
      <w:r w:rsidRPr="00A9486C">
        <w:rPr>
          <w:bCs/>
          <w:szCs w:val="24"/>
          <w:lang w:eastAsia="lt-LT"/>
        </w:rPr>
        <w:t>ex</w:t>
      </w:r>
      <w:proofErr w:type="spellEnd"/>
      <w:r w:rsidRPr="00A9486C">
        <w:rPr>
          <w:bCs/>
          <w:szCs w:val="24"/>
          <w:lang w:eastAsia="lt-LT"/>
        </w:rPr>
        <w:t xml:space="preserve"> ante vertinimo, taip pat duomenų prieinamumą ir paslaugų suteikimo tvarkaraštį. SP </w:t>
      </w:r>
      <w:proofErr w:type="spellStart"/>
      <w:r w:rsidRPr="00A9486C">
        <w:rPr>
          <w:bCs/>
          <w:szCs w:val="24"/>
          <w:lang w:eastAsia="lt-LT"/>
        </w:rPr>
        <w:t>ex</w:t>
      </w:r>
      <w:proofErr w:type="spellEnd"/>
      <w:r w:rsidRPr="00A9486C">
        <w:rPr>
          <w:bCs/>
          <w:szCs w:val="24"/>
          <w:lang w:eastAsia="lt-LT"/>
        </w:rPr>
        <w:t xml:space="preserve"> ante, SPAV  ir FP </w:t>
      </w:r>
      <w:proofErr w:type="spellStart"/>
      <w:r w:rsidRPr="00A9486C">
        <w:rPr>
          <w:bCs/>
          <w:szCs w:val="24"/>
          <w:lang w:eastAsia="lt-LT"/>
        </w:rPr>
        <w:t>ex</w:t>
      </w:r>
      <w:proofErr w:type="spellEnd"/>
      <w:r w:rsidRPr="00A9486C">
        <w:rPr>
          <w:bCs/>
          <w:szCs w:val="24"/>
          <w:lang w:eastAsia="lt-LT"/>
        </w:rPr>
        <w:t xml:space="preserve"> ante apimtis, pagrindiniai ir smulkesni vertinimo aspektai turės būti tikslinami, papildomi priklausomai nuo galutinės ES paramą naujuoju programiniu laikotarpiu reglamentuojančių ES teisės aktų, EK metodinių gairių ir bendrosios stebėsenos ir vertinimo sistemos redakcijos, kitų aktualių dokumentų.</w:t>
      </w:r>
    </w:p>
    <w:p w14:paraId="5630DD2A" w14:textId="77777777" w:rsidR="0050229E" w:rsidRPr="00A9486C" w:rsidRDefault="0050229E" w:rsidP="0050229E">
      <w:pPr>
        <w:numPr>
          <w:ilvl w:val="1"/>
          <w:numId w:val="2"/>
        </w:numPr>
        <w:tabs>
          <w:tab w:val="left" w:pos="426"/>
        </w:tabs>
        <w:autoSpaceDE w:val="0"/>
        <w:autoSpaceDN w:val="0"/>
        <w:adjustRightInd w:val="0"/>
        <w:spacing w:after="200" w:line="276" w:lineRule="auto"/>
        <w:ind w:left="0" w:firstLine="0"/>
        <w:contextualSpacing/>
        <w:jc w:val="both"/>
        <w:rPr>
          <w:bCs/>
          <w:szCs w:val="24"/>
          <w:lang w:eastAsia="lt-LT"/>
        </w:rPr>
      </w:pPr>
      <w:r w:rsidRPr="00A9486C">
        <w:rPr>
          <w:bCs/>
          <w:szCs w:val="24"/>
          <w:lang w:eastAsia="lt-LT"/>
        </w:rPr>
        <w:t>Paslaugų teikėjas, teikdamas paslaugas, turės vadovautis šiomis metodinėmis nuostatomis:</w:t>
      </w:r>
    </w:p>
    <w:p w14:paraId="2BA18B18" w14:textId="77777777" w:rsidR="0050229E" w:rsidRPr="00A9486C" w:rsidRDefault="0050229E" w:rsidP="0050229E">
      <w:pPr>
        <w:numPr>
          <w:ilvl w:val="2"/>
          <w:numId w:val="2"/>
        </w:numPr>
        <w:tabs>
          <w:tab w:val="left" w:pos="709"/>
        </w:tabs>
        <w:autoSpaceDE w:val="0"/>
        <w:autoSpaceDN w:val="0"/>
        <w:adjustRightInd w:val="0"/>
        <w:spacing w:after="200" w:line="276" w:lineRule="auto"/>
        <w:ind w:left="0" w:firstLine="0"/>
        <w:contextualSpacing/>
        <w:jc w:val="both"/>
        <w:rPr>
          <w:szCs w:val="24"/>
          <w:lang w:eastAsia="lt-LT"/>
        </w:rPr>
      </w:pPr>
      <w:r w:rsidRPr="00A9486C">
        <w:rPr>
          <w:szCs w:val="24"/>
          <w:lang w:eastAsia="lt-LT"/>
        </w:rPr>
        <w:t>Vertinimo metodika turi pristatyti ir paaiškinti vertinimo (analizės) teorinį pagrindą, apžvelgti su vertinimo aspektais ir veiklomis susijusią teorinę bei empirinę literatūrą, pagrindines teorines prielaidas bei teiginius, numatytus taikyti vertinimo metu;</w:t>
      </w:r>
    </w:p>
    <w:p w14:paraId="6F61F4B4" w14:textId="77777777" w:rsidR="0050229E" w:rsidRPr="00A9486C" w:rsidRDefault="0050229E" w:rsidP="0050229E">
      <w:pPr>
        <w:numPr>
          <w:ilvl w:val="2"/>
          <w:numId w:val="2"/>
        </w:numPr>
        <w:tabs>
          <w:tab w:val="left" w:pos="709"/>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Vertinimo metodika turi pristatyti ir pagrįsti vertinimo metodus, numatytus duomenų rinkimui ir analizei. Pasirinkti metodai turėtų užtikrinti reikalingų duomenų prieinamumą, patikimumą ir kokybę, vertinimo išvadų ir rekomendacijų pagrįstumą, nuoseklumą ir praktinį pritaikomumą. Vertinimo metodų rinkinį, </w:t>
      </w:r>
      <w:proofErr w:type="spellStart"/>
      <w:r w:rsidRPr="00A9486C">
        <w:rPr>
          <w:i/>
          <w:szCs w:val="24"/>
          <w:lang w:eastAsia="lt-LT"/>
        </w:rPr>
        <w:t>inter</w:t>
      </w:r>
      <w:proofErr w:type="spellEnd"/>
      <w:r w:rsidRPr="00A9486C">
        <w:rPr>
          <w:i/>
          <w:szCs w:val="24"/>
          <w:lang w:eastAsia="lt-LT"/>
        </w:rPr>
        <w:t xml:space="preserve"> alia</w:t>
      </w:r>
      <w:r w:rsidRPr="00A9486C">
        <w:rPr>
          <w:szCs w:val="24"/>
          <w:lang w:eastAsia="lt-LT"/>
        </w:rPr>
        <w:t>, turi sudaryti bent jau: antrinių šaltinių (įskaitant aktualią teorinę literatūrą, aktualius ES paramos vertinimus, administracinius duomenis) analizė, apklausos, teorija grindžiamas poveikio vertinimas, administracinės naštos vertinimas, lyginamoji analizė, alternatyvų palyginimas, SSGG (stiprybių, silpnybių, galimybių, grėsmių) analizė.</w:t>
      </w:r>
    </w:p>
    <w:p w14:paraId="1BF58731" w14:textId="77777777" w:rsidR="0050229E" w:rsidRPr="00A9486C" w:rsidRDefault="0050229E" w:rsidP="0050229E">
      <w:pPr>
        <w:numPr>
          <w:ilvl w:val="2"/>
          <w:numId w:val="2"/>
        </w:numPr>
        <w:tabs>
          <w:tab w:val="left" w:pos="709"/>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Vertinimo metodika turi nurodyti pagrindinius duomenis ir informacijos šaltinius, kuriais paslaugų teikėjas naudosis, atlikdamas vertinimą, ir paaiškinti šių duomenų reikalingumą, patikimumą ir aktualumą. Prireikus, bet kuriame paslaugų suteikimo etape paslaugų teikėjas turi numatyti surinkti papildomų ar alternatyvių duomenų. </w:t>
      </w:r>
    </w:p>
    <w:p w14:paraId="3550288F" w14:textId="77777777" w:rsidR="0050229E" w:rsidRPr="00A9486C" w:rsidRDefault="0050229E" w:rsidP="0050229E">
      <w:pPr>
        <w:numPr>
          <w:ilvl w:val="2"/>
          <w:numId w:val="2"/>
        </w:numPr>
        <w:tabs>
          <w:tab w:val="left" w:pos="709"/>
        </w:tabs>
        <w:autoSpaceDE w:val="0"/>
        <w:autoSpaceDN w:val="0"/>
        <w:adjustRightInd w:val="0"/>
        <w:spacing w:after="200" w:line="276" w:lineRule="auto"/>
        <w:ind w:left="0" w:firstLine="0"/>
        <w:contextualSpacing/>
        <w:jc w:val="both"/>
        <w:rPr>
          <w:szCs w:val="24"/>
          <w:lang w:eastAsia="lt-LT"/>
        </w:rPr>
      </w:pPr>
      <w:r w:rsidRPr="00A9486C">
        <w:rPr>
          <w:szCs w:val="24"/>
          <w:lang w:eastAsia="lt-LT"/>
        </w:rPr>
        <w:lastRenderedPageBreak/>
        <w:t xml:space="preserve">Paslaugų teikėjas, vykdydamas vertinimo uždavinius, turės išnagrinėti ir atsižvelgti į aktualias Europos Komisijos ir (ar) įvairių jos tarnybų metodines gaires, rekomendacijas, kitą aktualią informaciją (pvz. Europos kaimo plėtros vertinimo pagalbos tarnybos (angl. – </w:t>
      </w:r>
      <w:r w:rsidRPr="00A9486C">
        <w:rPr>
          <w:rFonts w:cs="Arial"/>
          <w:i/>
          <w:iCs/>
          <w:sz w:val="22"/>
          <w:szCs w:val="22"/>
          <w:lang w:val="en" w:eastAsia="lt-LT"/>
        </w:rPr>
        <w:t>European Evaluation Helpdesk for Rural Development</w:t>
      </w:r>
      <w:r w:rsidRPr="00A9486C">
        <w:rPr>
          <w:szCs w:val="24"/>
          <w:lang w:eastAsia="lt-LT"/>
        </w:rPr>
        <w:t xml:space="preserve">) BŽŪP strateginių planų </w:t>
      </w:r>
      <w:proofErr w:type="spellStart"/>
      <w:r w:rsidRPr="00A9486C">
        <w:rPr>
          <w:szCs w:val="24"/>
          <w:lang w:eastAsia="lt-LT"/>
        </w:rPr>
        <w:t>ex</w:t>
      </w:r>
      <w:proofErr w:type="spellEnd"/>
      <w:r w:rsidRPr="00A9486C">
        <w:rPr>
          <w:szCs w:val="24"/>
          <w:lang w:eastAsia="lt-LT"/>
        </w:rPr>
        <w:t xml:space="preserve"> ante vertinimų rekomendacijas</w:t>
      </w:r>
      <w:r w:rsidRPr="00A9486C">
        <w:rPr>
          <w:szCs w:val="24"/>
          <w:vertAlign w:val="superscript"/>
          <w:lang w:eastAsia="lt-LT"/>
        </w:rPr>
        <w:footnoteReference w:id="19"/>
      </w:r>
      <w:r w:rsidRPr="00A9486C">
        <w:rPr>
          <w:szCs w:val="24"/>
          <w:lang w:eastAsia="lt-LT"/>
        </w:rPr>
        <w:t xml:space="preserve">). Finansinių priemonių vertinimui rekomenduojama atsižvelgti į Europos Komisijos ir Europos Investicijų Banko bendroje platformoje </w:t>
      </w:r>
      <w:r w:rsidRPr="00A9486C">
        <w:rPr>
          <w:i/>
          <w:iCs/>
          <w:szCs w:val="24"/>
          <w:lang w:eastAsia="lt-LT"/>
        </w:rPr>
        <w:t xml:space="preserve">FI </w:t>
      </w:r>
      <w:proofErr w:type="spellStart"/>
      <w:r w:rsidRPr="00A9486C">
        <w:rPr>
          <w:i/>
          <w:iCs/>
          <w:szCs w:val="24"/>
          <w:lang w:eastAsia="lt-LT"/>
        </w:rPr>
        <w:t>Compass</w:t>
      </w:r>
      <w:proofErr w:type="spellEnd"/>
      <w:r w:rsidRPr="00A9486C">
        <w:rPr>
          <w:i/>
          <w:iCs/>
          <w:szCs w:val="24"/>
          <w:lang w:eastAsia="lt-LT"/>
        </w:rPr>
        <w:t xml:space="preserve"> </w:t>
      </w:r>
      <w:r w:rsidRPr="00A9486C">
        <w:rPr>
          <w:szCs w:val="24"/>
          <w:lang w:eastAsia="lt-LT"/>
        </w:rPr>
        <w:t>pateikiamą informaciją ir metodinius dokumentus</w:t>
      </w:r>
      <w:r w:rsidRPr="00A9486C">
        <w:rPr>
          <w:szCs w:val="24"/>
          <w:vertAlign w:val="superscript"/>
          <w:lang w:eastAsia="lt-LT"/>
        </w:rPr>
        <w:footnoteReference w:id="20"/>
      </w:r>
      <w:r w:rsidRPr="00A9486C">
        <w:rPr>
          <w:szCs w:val="24"/>
          <w:lang w:eastAsia="lt-LT"/>
        </w:rPr>
        <w:t>.</w:t>
      </w:r>
      <w:r>
        <w:rPr>
          <w:szCs w:val="24"/>
          <w:lang w:eastAsia="lt-LT"/>
        </w:rPr>
        <w:t xml:space="preserve"> </w:t>
      </w:r>
      <w:r w:rsidRPr="00A9486C">
        <w:rPr>
          <w:szCs w:val="24"/>
          <w:lang w:eastAsia="lt-LT"/>
        </w:rPr>
        <w:t>Vertintojams taip pat rekomenduojama pasinaudoti kita aktualia informacija, įskaitant ankstesnių laikotarpių žemės ūkio ir kaimo plėtros ir (ar) struktūrinės paramos vertinimų metodinius dokumentus.</w:t>
      </w:r>
    </w:p>
    <w:p w14:paraId="5F30D3E8" w14:textId="77777777" w:rsidR="0050229E" w:rsidRPr="00A9486C" w:rsidRDefault="0050229E" w:rsidP="0050229E">
      <w:pPr>
        <w:numPr>
          <w:ilvl w:val="2"/>
          <w:numId w:val="2"/>
        </w:numPr>
        <w:tabs>
          <w:tab w:val="left" w:pos="709"/>
        </w:tabs>
        <w:autoSpaceDE w:val="0"/>
        <w:autoSpaceDN w:val="0"/>
        <w:adjustRightInd w:val="0"/>
        <w:spacing w:after="200" w:line="276" w:lineRule="auto"/>
        <w:ind w:left="0" w:firstLine="0"/>
        <w:contextualSpacing/>
        <w:jc w:val="both"/>
        <w:rPr>
          <w:szCs w:val="24"/>
          <w:lang w:eastAsia="lt-LT"/>
        </w:rPr>
      </w:pPr>
      <w:r w:rsidRPr="00A9486C">
        <w:rPr>
          <w:szCs w:val="24"/>
          <w:lang w:eastAsia="lt-LT"/>
        </w:rPr>
        <w:t>Vertinimų išvados ir rekomendacijos turi būti nuoseklios, susijusios su atlikta analize. Faktai, kuriais remiantis daromos išvados ir rekomendacijos, turi būti aiškūs ir identifikuojami tarpinių ir galutinių vertinimo ataskaitų tekste.</w:t>
      </w:r>
    </w:p>
    <w:p w14:paraId="6F3E62F0" w14:textId="77777777" w:rsidR="0050229E" w:rsidRPr="00A9486C" w:rsidRDefault="0050229E" w:rsidP="0050229E">
      <w:pPr>
        <w:tabs>
          <w:tab w:val="left" w:pos="426"/>
        </w:tabs>
        <w:autoSpaceDE w:val="0"/>
        <w:autoSpaceDN w:val="0"/>
        <w:adjustRightInd w:val="0"/>
        <w:contextualSpacing/>
        <w:jc w:val="both"/>
        <w:rPr>
          <w:szCs w:val="24"/>
          <w:lang w:eastAsia="lt-LT"/>
        </w:rPr>
      </w:pPr>
    </w:p>
    <w:p w14:paraId="47669476" w14:textId="77777777" w:rsidR="0050229E" w:rsidRPr="00A9486C" w:rsidRDefault="0050229E" w:rsidP="0050229E">
      <w:pPr>
        <w:jc w:val="center"/>
        <w:rPr>
          <w:b/>
          <w:bCs/>
          <w:szCs w:val="24"/>
          <w:lang w:eastAsia="lt-LT"/>
        </w:rPr>
      </w:pPr>
      <w:r w:rsidRPr="00A9486C">
        <w:rPr>
          <w:b/>
          <w:bCs/>
          <w:szCs w:val="24"/>
          <w:lang w:eastAsia="lt-LT"/>
        </w:rPr>
        <w:t>IV. VERTINIMO REZULTATŲ PATEIKIMO TERMINAI</w:t>
      </w:r>
    </w:p>
    <w:p w14:paraId="455A55B3" w14:textId="77777777" w:rsidR="0050229E" w:rsidRPr="00A9486C" w:rsidRDefault="0050229E" w:rsidP="0050229E">
      <w:pPr>
        <w:jc w:val="center"/>
        <w:rPr>
          <w:b/>
          <w:bCs/>
          <w:szCs w:val="24"/>
          <w:lang w:eastAsia="lt-LT"/>
        </w:rPr>
      </w:pPr>
    </w:p>
    <w:p w14:paraId="35967DE8" w14:textId="77777777" w:rsidR="0050229E" w:rsidRPr="00A9486C" w:rsidRDefault="0050229E" w:rsidP="0050229E">
      <w:pPr>
        <w:numPr>
          <w:ilvl w:val="0"/>
          <w:numId w:val="2"/>
        </w:numPr>
        <w:tabs>
          <w:tab w:val="left" w:pos="284"/>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SP ir FP </w:t>
      </w:r>
      <w:proofErr w:type="spellStart"/>
      <w:r w:rsidRPr="00A9486C">
        <w:rPr>
          <w:szCs w:val="24"/>
          <w:lang w:eastAsia="lt-LT"/>
        </w:rPr>
        <w:t>ex</w:t>
      </w:r>
      <w:proofErr w:type="spellEnd"/>
      <w:r w:rsidRPr="00A9486C">
        <w:rPr>
          <w:szCs w:val="24"/>
          <w:lang w:eastAsia="lt-LT"/>
        </w:rPr>
        <w:t xml:space="preserve"> ante vertinimai yra glaudžiai susiję ir priklausomi nuo ES teisės aktų rengimo, derinimo ir priėmimo bei </w:t>
      </w:r>
      <w:r w:rsidRPr="00A9486C">
        <w:rPr>
          <w:bCs/>
          <w:szCs w:val="24"/>
          <w:lang w:eastAsia="lt-LT"/>
        </w:rPr>
        <w:t>Lietuvos BŽŪP SP</w:t>
      </w:r>
      <w:r w:rsidRPr="00A9486C">
        <w:rPr>
          <w:szCs w:val="24"/>
          <w:lang w:eastAsia="lt-LT"/>
        </w:rPr>
        <w:t xml:space="preserve"> rengimo procesų ir terminų. Todėl, įgyvendinant sutartį, Paslaugų veiklų tvarkaraštis turės būti derinamas su pasirengimo panaudoti naujojo programinio laikotarpio paramą darbų tvarkaraščiu. </w:t>
      </w:r>
    </w:p>
    <w:p w14:paraId="69690ADD" w14:textId="77777777" w:rsidR="0050229E" w:rsidRPr="00A9486C" w:rsidRDefault="0050229E" w:rsidP="0050229E">
      <w:pPr>
        <w:tabs>
          <w:tab w:val="left" w:pos="284"/>
          <w:tab w:val="left" w:pos="426"/>
        </w:tabs>
        <w:autoSpaceDE w:val="0"/>
        <w:autoSpaceDN w:val="0"/>
        <w:adjustRightInd w:val="0"/>
        <w:contextualSpacing/>
        <w:jc w:val="both"/>
        <w:rPr>
          <w:szCs w:val="24"/>
          <w:lang w:eastAsia="lt-LT"/>
        </w:rPr>
      </w:pPr>
      <w:r w:rsidRPr="00A9486C">
        <w:rPr>
          <w:szCs w:val="24"/>
          <w:lang w:eastAsia="lt-LT"/>
        </w:rPr>
        <w:t>Toliau pateikiami preliminarūs vertinimo rezultatų pateikimo terminai, kurie bendru užsakovo ir paslaugų teikėjo sutarimu gali būti keičiami atsižvelgiant į ES teisės aktų nuostatų pokyčius, atsakingų ES ar nacionalinių institucijų prašymus ar reikalavimus ir su tuo susijusius Lietuvos SP rengimo pokyčius ar kitas nenumatytas aplinkybes.</w:t>
      </w:r>
    </w:p>
    <w:p w14:paraId="7DD2BB77" w14:textId="77777777" w:rsidR="0050229E" w:rsidRPr="00A9486C" w:rsidRDefault="0050229E" w:rsidP="0050229E">
      <w:pPr>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462"/>
        <w:gridCol w:w="3178"/>
      </w:tblGrid>
      <w:tr w:rsidR="0050229E" w:rsidRPr="00A9486C" w14:paraId="5D23CBEA" w14:textId="77777777" w:rsidTr="00F71820">
        <w:trPr>
          <w:tblHeader/>
        </w:trPr>
        <w:tc>
          <w:tcPr>
            <w:tcW w:w="704" w:type="dxa"/>
            <w:shd w:val="clear" w:color="auto" w:fill="D9D9D9"/>
          </w:tcPr>
          <w:p w14:paraId="186EB5C0" w14:textId="77777777" w:rsidR="0050229E" w:rsidRPr="00A9486C" w:rsidRDefault="0050229E" w:rsidP="00F71820">
            <w:pPr>
              <w:jc w:val="center"/>
              <w:rPr>
                <w:b/>
                <w:szCs w:val="24"/>
                <w:lang w:eastAsia="lt-LT"/>
              </w:rPr>
            </w:pPr>
            <w:r w:rsidRPr="00A9486C">
              <w:rPr>
                <w:b/>
                <w:szCs w:val="24"/>
                <w:lang w:eastAsia="lt-LT"/>
              </w:rPr>
              <w:t>Eil. Nr.</w:t>
            </w:r>
          </w:p>
        </w:tc>
        <w:tc>
          <w:tcPr>
            <w:tcW w:w="5462" w:type="dxa"/>
            <w:shd w:val="clear" w:color="auto" w:fill="D9D9D9"/>
          </w:tcPr>
          <w:p w14:paraId="6A3F416B" w14:textId="77777777" w:rsidR="0050229E" w:rsidRPr="00A9486C" w:rsidRDefault="0050229E" w:rsidP="00F71820">
            <w:pPr>
              <w:jc w:val="center"/>
              <w:rPr>
                <w:b/>
                <w:szCs w:val="24"/>
                <w:lang w:eastAsia="lt-LT"/>
              </w:rPr>
            </w:pPr>
            <w:r w:rsidRPr="00A9486C">
              <w:rPr>
                <w:b/>
                <w:szCs w:val="24"/>
                <w:lang w:eastAsia="lt-LT"/>
              </w:rPr>
              <w:t>Rezultatas</w:t>
            </w:r>
          </w:p>
        </w:tc>
        <w:tc>
          <w:tcPr>
            <w:tcW w:w="3178" w:type="dxa"/>
            <w:shd w:val="clear" w:color="auto" w:fill="D9D9D9"/>
          </w:tcPr>
          <w:p w14:paraId="17BD8854" w14:textId="77777777" w:rsidR="0050229E" w:rsidRPr="00A9486C" w:rsidRDefault="0050229E" w:rsidP="00F71820">
            <w:pPr>
              <w:jc w:val="center"/>
              <w:rPr>
                <w:b/>
                <w:szCs w:val="24"/>
                <w:lang w:eastAsia="lt-LT"/>
              </w:rPr>
            </w:pPr>
            <w:r w:rsidRPr="00A9486C">
              <w:rPr>
                <w:b/>
                <w:szCs w:val="24"/>
                <w:lang w:eastAsia="lt-LT"/>
              </w:rPr>
              <w:t>Terminas</w:t>
            </w:r>
          </w:p>
        </w:tc>
      </w:tr>
      <w:tr w:rsidR="0050229E" w:rsidRPr="00A9486C" w14:paraId="0B38E6BE" w14:textId="77777777" w:rsidTr="00F71820">
        <w:tc>
          <w:tcPr>
            <w:tcW w:w="704" w:type="dxa"/>
          </w:tcPr>
          <w:p w14:paraId="4152C233"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1EF0F17A" w14:textId="77777777" w:rsidR="0050229E" w:rsidRPr="00A9486C" w:rsidRDefault="0050229E" w:rsidP="00F71820">
            <w:pPr>
              <w:jc w:val="both"/>
              <w:rPr>
                <w:szCs w:val="24"/>
                <w:lang w:eastAsia="lt-LT"/>
              </w:rPr>
            </w:pPr>
            <w:r w:rsidRPr="00A9486C">
              <w:rPr>
                <w:szCs w:val="24"/>
                <w:lang w:eastAsia="lt-LT"/>
              </w:rPr>
              <w:t>Įvadinė vertinimų ataskaita</w:t>
            </w:r>
          </w:p>
        </w:tc>
        <w:tc>
          <w:tcPr>
            <w:tcW w:w="3178" w:type="dxa"/>
          </w:tcPr>
          <w:p w14:paraId="1C6C8BB9" w14:textId="77777777" w:rsidR="0050229E" w:rsidRPr="00A9486C" w:rsidRDefault="0050229E" w:rsidP="00F71820">
            <w:pPr>
              <w:jc w:val="both"/>
              <w:rPr>
                <w:szCs w:val="24"/>
                <w:lang w:eastAsia="lt-LT"/>
              </w:rPr>
            </w:pPr>
            <w:r w:rsidRPr="00A9486C">
              <w:rPr>
                <w:szCs w:val="24"/>
                <w:lang w:eastAsia="lt-LT"/>
              </w:rPr>
              <w:t>Per 1 mėn. nuo sutarties įsigaliojimo.</w:t>
            </w:r>
          </w:p>
        </w:tc>
      </w:tr>
      <w:tr w:rsidR="0050229E" w:rsidRPr="00A9486C" w14:paraId="03BD29F0" w14:textId="77777777" w:rsidTr="00F71820">
        <w:tc>
          <w:tcPr>
            <w:tcW w:w="704" w:type="dxa"/>
          </w:tcPr>
          <w:p w14:paraId="20F8B2C9"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7FEF7F7D" w14:textId="77777777" w:rsidR="0050229E" w:rsidRPr="00A9486C" w:rsidRDefault="0050229E" w:rsidP="00F71820">
            <w:pPr>
              <w:jc w:val="both"/>
              <w:rPr>
                <w:szCs w:val="24"/>
                <w:lang w:eastAsia="lt-LT"/>
              </w:rPr>
            </w:pPr>
            <w:r w:rsidRPr="00A9486C">
              <w:rPr>
                <w:szCs w:val="24"/>
                <w:lang w:eastAsia="lt-LT"/>
              </w:rPr>
              <w:t xml:space="preserve">Pirmoji tarpinė </w:t>
            </w:r>
            <w:r w:rsidRPr="00A9486C">
              <w:rPr>
                <w:b/>
                <w:szCs w:val="24"/>
                <w:lang w:eastAsia="lt-LT"/>
              </w:rPr>
              <w:t>SP</w:t>
            </w:r>
            <w:r w:rsidRPr="00A9486C">
              <w:rPr>
                <w:szCs w:val="24"/>
                <w:lang w:eastAsia="lt-LT"/>
              </w:rPr>
              <w:t xml:space="preserve"> </w:t>
            </w:r>
            <w:proofErr w:type="spellStart"/>
            <w:r w:rsidRPr="00A9486C">
              <w:rPr>
                <w:szCs w:val="24"/>
                <w:lang w:eastAsia="lt-LT"/>
              </w:rPr>
              <w:t>ex</w:t>
            </w:r>
            <w:proofErr w:type="spellEnd"/>
            <w:r w:rsidRPr="00A9486C">
              <w:rPr>
                <w:szCs w:val="24"/>
                <w:lang w:eastAsia="lt-LT"/>
              </w:rPr>
              <w:t xml:space="preserve"> ante vertinimo ataskaita (pagal Techninės specifikacijos 11.1 papunktį)</w:t>
            </w:r>
          </w:p>
        </w:tc>
        <w:tc>
          <w:tcPr>
            <w:tcW w:w="3178" w:type="dxa"/>
            <w:vMerge w:val="restart"/>
          </w:tcPr>
          <w:p w14:paraId="21FAE0A3" w14:textId="77777777" w:rsidR="0050229E" w:rsidRPr="00A9486C" w:rsidRDefault="0050229E" w:rsidP="00F71820">
            <w:pPr>
              <w:jc w:val="both"/>
              <w:rPr>
                <w:szCs w:val="24"/>
                <w:lang w:eastAsia="lt-LT"/>
              </w:rPr>
            </w:pPr>
            <w:r w:rsidRPr="00A9486C">
              <w:rPr>
                <w:szCs w:val="24"/>
                <w:lang w:eastAsia="lt-LT"/>
              </w:rPr>
              <w:t xml:space="preserve">Per 3 mėn. nuo </w:t>
            </w:r>
            <w:r w:rsidRPr="00A9486C">
              <w:rPr>
                <w:b/>
                <w:szCs w:val="24"/>
                <w:lang w:eastAsia="lt-LT"/>
              </w:rPr>
              <w:t>Lietuvos BŽŪP SP</w:t>
            </w:r>
            <w:r w:rsidRPr="00A9486C">
              <w:rPr>
                <w:szCs w:val="24"/>
                <w:lang w:eastAsia="lt-LT"/>
              </w:rPr>
              <w:t xml:space="preserve">  projekto atitinkamų dalių pateikimo vertintojams.</w:t>
            </w:r>
          </w:p>
          <w:p w14:paraId="30889B5E" w14:textId="77777777" w:rsidR="0050229E" w:rsidRPr="00A9486C" w:rsidRDefault="0050229E" w:rsidP="00F71820">
            <w:pPr>
              <w:jc w:val="both"/>
              <w:rPr>
                <w:szCs w:val="24"/>
                <w:lang w:eastAsia="lt-LT"/>
              </w:rPr>
            </w:pPr>
          </w:p>
        </w:tc>
      </w:tr>
      <w:tr w:rsidR="0050229E" w:rsidRPr="00A9486C" w14:paraId="21C01F90" w14:textId="77777777" w:rsidTr="00F71820">
        <w:tc>
          <w:tcPr>
            <w:tcW w:w="704" w:type="dxa"/>
          </w:tcPr>
          <w:p w14:paraId="0AFE85ED"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61648F3E" w14:textId="77777777" w:rsidR="0050229E" w:rsidRPr="00A9486C" w:rsidRDefault="0050229E" w:rsidP="00F71820">
            <w:pPr>
              <w:jc w:val="both"/>
              <w:rPr>
                <w:szCs w:val="24"/>
                <w:lang w:eastAsia="lt-LT"/>
              </w:rPr>
            </w:pPr>
            <w:r w:rsidRPr="00A9486C">
              <w:rPr>
                <w:szCs w:val="24"/>
                <w:lang w:eastAsia="lt-LT"/>
              </w:rPr>
              <w:t xml:space="preserve">Pirmoji tarpinė </w:t>
            </w:r>
            <w:r w:rsidRPr="00A9486C">
              <w:rPr>
                <w:b/>
                <w:szCs w:val="24"/>
                <w:lang w:eastAsia="lt-LT"/>
              </w:rPr>
              <w:t>SP</w:t>
            </w:r>
            <w:r w:rsidRPr="00A9486C">
              <w:rPr>
                <w:szCs w:val="24"/>
                <w:lang w:eastAsia="lt-LT"/>
              </w:rPr>
              <w:t xml:space="preserve"> SPAV ataskaita (pagal Techninės specifikacijos 11.2 papunktį)</w:t>
            </w:r>
          </w:p>
        </w:tc>
        <w:tc>
          <w:tcPr>
            <w:tcW w:w="3178" w:type="dxa"/>
            <w:vMerge/>
          </w:tcPr>
          <w:p w14:paraId="69D81590" w14:textId="77777777" w:rsidR="0050229E" w:rsidRPr="00A9486C" w:rsidRDefault="0050229E" w:rsidP="00F71820">
            <w:pPr>
              <w:rPr>
                <w:szCs w:val="24"/>
                <w:lang w:eastAsia="lt-LT"/>
              </w:rPr>
            </w:pPr>
          </w:p>
        </w:tc>
      </w:tr>
      <w:tr w:rsidR="0050229E" w:rsidRPr="00A9486C" w14:paraId="40319C59" w14:textId="77777777" w:rsidTr="00F71820">
        <w:tc>
          <w:tcPr>
            <w:tcW w:w="704" w:type="dxa"/>
          </w:tcPr>
          <w:p w14:paraId="6287A084"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0825D38E" w14:textId="77777777" w:rsidR="0050229E" w:rsidRPr="00A9486C" w:rsidRDefault="0050229E" w:rsidP="00F71820">
            <w:pPr>
              <w:jc w:val="both"/>
              <w:rPr>
                <w:szCs w:val="24"/>
                <w:lang w:eastAsia="lt-LT"/>
              </w:rPr>
            </w:pPr>
            <w:r w:rsidRPr="00A9486C">
              <w:rPr>
                <w:szCs w:val="24"/>
                <w:lang w:eastAsia="lt-LT"/>
              </w:rPr>
              <w:t xml:space="preserve">FP </w:t>
            </w:r>
            <w:proofErr w:type="spellStart"/>
            <w:r w:rsidRPr="00A9486C">
              <w:rPr>
                <w:szCs w:val="24"/>
                <w:lang w:eastAsia="lt-LT"/>
              </w:rPr>
              <w:t>ex</w:t>
            </w:r>
            <w:proofErr w:type="spellEnd"/>
            <w:r w:rsidRPr="00A9486C">
              <w:rPr>
                <w:szCs w:val="24"/>
                <w:lang w:eastAsia="lt-LT"/>
              </w:rPr>
              <w:t xml:space="preserve"> ante pirmojo etapo ataskaita (pagal techninės specifikacijos 7.3 punktą)</w:t>
            </w:r>
          </w:p>
        </w:tc>
        <w:tc>
          <w:tcPr>
            <w:tcW w:w="3178" w:type="dxa"/>
            <w:vMerge/>
          </w:tcPr>
          <w:p w14:paraId="2E319BC5" w14:textId="77777777" w:rsidR="0050229E" w:rsidRPr="00A9486C" w:rsidRDefault="0050229E" w:rsidP="00F71820">
            <w:pPr>
              <w:rPr>
                <w:szCs w:val="24"/>
                <w:lang w:eastAsia="lt-LT"/>
              </w:rPr>
            </w:pPr>
          </w:p>
        </w:tc>
      </w:tr>
      <w:tr w:rsidR="0050229E" w:rsidRPr="00A9486C" w14:paraId="11D9CEFD" w14:textId="77777777" w:rsidTr="00F71820">
        <w:tc>
          <w:tcPr>
            <w:tcW w:w="704" w:type="dxa"/>
          </w:tcPr>
          <w:p w14:paraId="4A47DC9F"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41E794E1" w14:textId="77777777" w:rsidR="0050229E" w:rsidRPr="00A9486C" w:rsidRDefault="0050229E" w:rsidP="00F71820">
            <w:pPr>
              <w:jc w:val="both"/>
              <w:rPr>
                <w:szCs w:val="24"/>
                <w:lang w:eastAsia="lt-LT"/>
              </w:rPr>
            </w:pPr>
            <w:r w:rsidRPr="00A9486C">
              <w:rPr>
                <w:szCs w:val="24"/>
                <w:lang w:eastAsia="lt-LT"/>
              </w:rPr>
              <w:t xml:space="preserve">Antroji tarpinė </w:t>
            </w:r>
            <w:r w:rsidRPr="00A9486C">
              <w:rPr>
                <w:b/>
                <w:szCs w:val="24"/>
                <w:lang w:eastAsia="lt-LT"/>
              </w:rPr>
              <w:t>SP</w:t>
            </w:r>
            <w:r w:rsidRPr="00A9486C">
              <w:rPr>
                <w:szCs w:val="24"/>
                <w:lang w:eastAsia="lt-LT"/>
              </w:rPr>
              <w:t xml:space="preserve"> </w:t>
            </w:r>
            <w:proofErr w:type="spellStart"/>
            <w:r w:rsidRPr="00A9486C">
              <w:rPr>
                <w:b/>
                <w:bCs/>
                <w:szCs w:val="24"/>
                <w:lang w:eastAsia="lt-LT"/>
              </w:rPr>
              <w:t>ex</w:t>
            </w:r>
            <w:proofErr w:type="spellEnd"/>
            <w:r w:rsidRPr="00A9486C">
              <w:rPr>
                <w:b/>
                <w:bCs/>
                <w:szCs w:val="24"/>
                <w:lang w:eastAsia="lt-LT"/>
              </w:rPr>
              <w:t xml:space="preserve"> ante</w:t>
            </w:r>
            <w:r w:rsidRPr="00A9486C">
              <w:rPr>
                <w:szCs w:val="24"/>
                <w:lang w:eastAsia="lt-LT"/>
              </w:rPr>
              <w:t xml:space="preserve"> vertinimo ataskaita (pagal Techninės specifikacijos 11.3 papunktį)</w:t>
            </w:r>
          </w:p>
        </w:tc>
        <w:tc>
          <w:tcPr>
            <w:tcW w:w="3178" w:type="dxa"/>
            <w:vMerge w:val="restart"/>
          </w:tcPr>
          <w:p w14:paraId="6C4762C3" w14:textId="77777777" w:rsidR="0050229E" w:rsidRPr="00A9486C" w:rsidRDefault="0050229E" w:rsidP="00F71820">
            <w:pPr>
              <w:jc w:val="both"/>
              <w:rPr>
                <w:szCs w:val="24"/>
                <w:lang w:eastAsia="lt-LT"/>
              </w:rPr>
            </w:pPr>
            <w:r w:rsidRPr="00A9486C">
              <w:rPr>
                <w:szCs w:val="24"/>
                <w:lang w:eastAsia="lt-LT"/>
              </w:rPr>
              <w:t xml:space="preserve">Per 3 mėn. nuo </w:t>
            </w:r>
            <w:r w:rsidRPr="00A9486C">
              <w:rPr>
                <w:b/>
                <w:szCs w:val="24"/>
                <w:lang w:eastAsia="lt-LT"/>
              </w:rPr>
              <w:t>Lietuvos BŽŪP SP</w:t>
            </w:r>
            <w:r w:rsidRPr="00A9486C">
              <w:rPr>
                <w:szCs w:val="24"/>
                <w:lang w:eastAsia="lt-LT"/>
              </w:rPr>
              <w:t xml:space="preserve">  projekto atitinkamų dalių pateikimo vertintojams.</w:t>
            </w:r>
          </w:p>
          <w:p w14:paraId="09A4C9AE" w14:textId="77777777" w:rsidR="0050229E" w:rsidRPr="00A9486C" w:rsidRDefault="0050229E" w:rsidP="00F71820">
            <w:pPr>
              <w:jc w:val="both"/>
              <w:rPr>
                <w:szCs w:val="24"/>
                <w:lang w:eastAsia="lt-LT"/>
              </w:rPr>
            </w:pPr>
          </w:p>
        </w:tc>
      </w:tr>
      <w:tr w:rsidR="0050229E" w:rsidRPr="00A9486C" w14:paraId="45BF4D7E" w14:textId="77777777" w:rsidTr="00F71820">
        <w:tc>
          <w:tcPr>
            <w:tcW w:w="704" w:type="dxa"/>
          </w:tcPr>
          <w:p w14:paraId="6BE66AEB"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01A09D41" w14:textId="77777777" w:rsidR="0050229E" w:rsidRPr="00A9486C" w:rsidRDefault="0050229E" w:rsidP="00F71820">
            <w:pPr>
              <w:jc w:val="both"/>
              <w:rPr>
                <w:szCs w:val="24"/>
                <w:lang w:eastAsia="lt-LT"/>
              </w:rPr>
            </w:pPr>
            <w:r w:rsidRPr="00A9486C">
              <w:rPr>
                <w:szCs w:val="24"/>
                <w:lang w:eastAsia="lt-LT"/>
              </w:rPr>
              <w:t xml:space="preserve">Antroji tarpinė </w:t>
            </w:r>
            <w:r w:rsidRPr="00A9486C">
              <w:rPr>
                <w:b/>
                <w:szCs w:val="24"/>
                <w:lang w:eastAsia="lt-LT"/>
              </w:rPr>
              <w:t>SP</w:t>
            </w:r>
            <w:r w:rsidRPr="00A9486C">
              <w:rPr>
                <w:szCs w:val="24"/>
                <w:lang w:eastAsia="lt-LT"/>
              </w:rPr>
              <w:t xml:space="preserve"> </w:t>
            </w:r>
            <w:r w:rsidRPr="00A9486C">
              <w:rPr>
                <w:b/>
                <w:bCs/>
                <w:szCs w:val="24"/>
                <w:lang w:eastAsia="lt-LT"/>
              </w:rPr>
              <w:t>SPAV</w:t>
            </w:r>
            <w:r w:rsidRPr="00A9486C">
              <w:rPr>
                <w:szCs w:val="24"/>
                <w:lang w:eastAsia="lt-LT"/>
              </w:rPr>
              <w:t xml:space="preserve"> ataskaita (pagal Techninės specifikacijos 11.4 papunktį)</w:t>
            </w:r>
          </w:p>
        </w:tc>
        <w:tc>
          <w:tcPr>
            <w:tcW w:w="3178" w:type="dxa"/>
            <w:vMerge/>
          </w:tcPr>
          <w:p w14:paraId="09BD7F0A" w14:textId="77777777" w:rsidR="0050229E" w:rsidRPr="00A9486C" w:rsidRDefault="0050229E" w:rsidP="00F71820">
            <w:pPr>
              <w:rPr>
                <w:szCs w:val="24"/>
                <w:lang w:eastAsia="lt-LT"/>
              </w:rPr>
            </w:pPr>
          </w:p>
        </w:tc>
      </w:tr>
      <w:tr w:rsidR="0050229E" w:rsidRPr="00A9486C" w14:paraId="75D36C31" w14:textId="77777777" w:rsidTr="00F71820">
        <w:tc>
          <w:tcPr>
            <w:tcW w:w="704" w:type="dxa"/>
          </w:tcPr>
          <w:p w14:paraId="570CBC37"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1E9D7F9F" w14:textId="77777777" w:rsidR="0050229E" w:rsidRPr="00A9486C" w:rsidRDefault="0050229E" w:rsidP="00F71820">
            <w:pPr>
              <w:jc w:val="both"/>
              <w:rPr>
                <w:szCs w:val="24"/>
                <w:lang w:eastAsia="lt-LT"/>
              </w:rPr>
            </w:pPr>
            <w:r w:rsidRPr="00A9486C">
              <w:rPr>
                <w:szCs w:val="24"/>
                <w:lang w:eastAsia="lt-LT"/>
              </w:rPr>
              <w:t xml:space="preserve">Galutinių </w:t>
            </w:r>
            <w:r w:rsidRPr="00A9486C">
              <w:rPr>
                <w:b/>
                <w:szCs w:val="24"/>
                <w:lang w:eastAsia="lt-LT"/>
              </w:rPr>
              <w:t>Lietuvos BŽŪP SP</w:t>
            </w:r>
            <w:r>
              <w:rPr>
                <w:b/>
                <w:szCs w:val="24"/>
                <w:lang w:eastAsia="lt-LT"/>
              </w:rPr>
              <w:t xml:space="preserve"> </w:t>
            </w:r>
            <w:proofErr w:type="spellStart"/>
            <w:r w:rsidRPr="00A9486C">
              <w:rPr>
                <w:szCs w:val="24"/>
                <w:lang w:eastAsia="lt-LT"/>
              </w:rPr>
              <w:t>SP</w:t>
            </w:r>
            <w:proofErr w:type="spellEnd"/>
            <w:r w:rsidRPr="00A9486C">
              <w:rPr>
                <w:szCs w:val="24"/>
                <w:lang w:eastAsia="lt-LT"/>
              </w:rPr>
              <w:t xml:space="preserve"> </w:t>
            </w:r>
            <w:proofErr w:type="spellStart"/>
            <w:r w:rsidRPr="00A9486C">
              <w:rPr>
                <w:szCs w:val="24"/>
                <w:lang w:eastAsia="lt-LT"/>
              </w:rPr>
              <w:t>ex</w:t>
            </w:r>
            <w:proofErr w:type="spellEnd"/>
            <w:r w:rsidRPr="00A9486C">
              <w:rPr>
                <w:szCs w:val="24"/>
                <w:lang w:eastAsia="lt-LT"/>
              </w:rPr>
              <w:t xml:space="preserve"> ante ir SP SPAV vertinimų ataskaitų projektai (pagal techninės specifikacijos 5.1-5.3 papunkčių reikalavimus)</w:t>
            </w:r>
          </w:p>
        </w:tc>
        <w:tc>
          <w:tcPr>
            <w:tcW w:w="3178" w:type="dxa"/>
            <w:vAlign w:val="center"/>
          </w:tcPr>
          <w:p w14:paraId="1B35B0FC" w14:textId="77777777" w:rsidR="0050229E" w:rsidRPr="00A9486C" w:rsidRDefault="0050229E" w:rsidP="00F71820">
            <w:pPr>
              <w:spacing w:after="200" w:line="276" w:lineRule="auto"/>
              <w:jc w:val="both"/>
              <w:rPr>
                <w:szCs w:val="24"/>
                <w:lang w:eastAsia="lt-LT"/>
              </w:rPr>
            </w:pPr>
            <w:r w:rsidRPr="00A9486C">
              <w:rPr>
                <w:szCs w:val="24"/>
                <w:lang w:eastAsia="lt-LT"/>
              </w:rPr>
              <w:t xml:space="preserve">Per 3 mėn. nuo </w:t>
            </w:r>
            <w:r w:rsidRPr="00A9486C">
              <w:rPr>
                <w:b/>
                <w:szCs w:val="24"/>
                <w:lang w:eastAsia="lt-LT"/>
              </w:rPr>
              <w:t>Lietuvos BŽŪP SP</w:t>
            </w:r>
            <w:r w:rsidRPr="00A9486C">
              <w:rPr>
                <w:szCs w:val="24"/>
                <w:lang w:eastAsia="lt-LT"/>
              </w:rPr>
              <w:t xml:space="preserve">  projekto atitinkamų dalių pateikimo vertintojams.</w:t>
            </w:r>
            <w:r w:rsidRPr="00A9486C">
              <w:rPr>
                <w:szCs w:val="24"/>
                <w:lang w:eastAsia="lt-LT"/>
              </w:rPr>
              <w:br/>
            </w:r>
          </w:p>
        </w:tc>
      </w:tr>
      <w:tr w:rsidR="0050229E" w:rsidRPr="00A9486C" w14:paraId="44AB164E" w14:textId="77777777" w:rsidTr="00F71820">
        <w:tc>
          <w:tcPr>
            <w:tcW w:w="704" w:type="dxa"/>
          </w:tcPr>
          <w:p w14:paraId="4AEA79ED"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2054691E" w14:textId="77777777" w:rsidR="0050229E" w:rsidRPr="00A9486C" w:rsidRDefault="0050229E" w:rsidP="00F71820">
            <w:pPr>
              <w:jc w:val="both"/>
              <w:rPr>
                <w:szCs w:val="24"/>
                <w:lang w:eastAsia="lt-LT"/>
              </w:rPr>
            </w:pPr>
            <w:r w:rsidRPr="00A9486C">
              <w:rPr>
                <w:szCs w:val="24"/>
                <w:lang w:eastAsia="lt-LT"/>
              </w:rPr>
              <w:t xml:space="preserve">Galutinė FP </w:t>
            </w:r>
            <w:proofErr w:type="spellStart"/>
            <w:r w:rsidRPr="00A9486C">
              <w:rPr>
                <w:szCs w:val="24"/>
                <w:lang w:eastAsia="lt-LT"/>
              </w:rPr>
              <w:t>ex</w:t>
            </w:r>
            <w:proofErr w:type="spellEnd"/>
            <w:r w:rsidRPr="00A9486C">
              <w:rPr>
                <w:szCs w:val="24"/>
                <w:lang w:eastAsia="lt-LT"/>
              </w:rPr>
              <w:t xml:space="preserve"> ante vertinimo ataskaita (pagal techninės specifikacijos 5.4 papunktį)</w:t>
            </w:r>
          </w:p>
          <w:p w14:paraId="61516C94" w14:textId="77777777" w:rsidR="0050229E" w:rsidRPr="00A9486C" w:rsidRDefault="0050229E" w:rsidP="00F71820">
            <w:pPr>
              <w:jc w:val="both"/>
              <w:rPr>
                <w:szCs w:val="24"/>
                <w:lang w:eastAsia="lt-LT"/>
              </w:rPr>
            </w:pPr>
          </w:p>
        </w:tc>
        <w:tc>
          <w:tcPr>
            <w:tcW w:w="3178" w:type="dxa"/>
            <w:vAlign w:val="center"/>
          </w:tcPr>
          <w:p w14:paraId="0BBF4AF3" w14:textId="77777777" w:rsidR="0050229E" w:rsidRPr="00A9486C" w:rsidDel="007941DC" w:rsidRDefault="0050229E" w:rsidP="00F71820">
            <w:pPr>
              <w:spacing w:after="200" w:line="276" w:lineRule="auto"/>
              <w:jc w:val="both"/>
              <w:rPr>
                <w:szCs w:val="24"/>
                <w:lang w:eastAsia="lt-LT"/>
              </w:rPr>
            </w:pPr>
            <w:r w:rsidRPr="00A9486C">
              <w:rPr>
                <w:szCs w:val="24"/>
                <w:lang w:eastAsia="lt-LT"/>
              </w:rPr>
              <w:t xml:space="preserve">Per </w:t>
            </w:r>
            <w:r>
              <w:rPr>
                <w:szCs w:val="24"/>
                <w:lang w:eastAsia="lt-LT"/>
              </w:rPr>
              <w:t>2</w:t>
            </w:r>
            <w:r w:rsidRPr="00A9486C">
              <w:rPr>
                <w:szCs w:val="24"/>
                <w:lang w:eastAsia="lt-LT"/>
              </w:rPr>
              <w:t xml:space="preserve"> mėn. nuo </w:t>
            </w:r>
            <w:r w:rsidRPr="00A9486C">
              <w:rPr>
                <w:b/>
                <w:szCs w:val="24"/>
                <w:lang w:eastAsia="lt-LT"/>
              </w:rPr>
              <w:t>Lietuvos BŽŪP SP</w:t>
            </w:r>
            <w:r w:rsidRPr="00A9486C">
              <w:rPr>
                <w:szCs w:val="24"/>
                <w:lang w:eastAsia="lt-LT"/>
              </w:rPr>
              <w:t xml:space="preserve">  projekto atitinkamų dalių pateikimo vertintojams.</w:t>
            </w:r>
          </w:p>
        </w:tc>
      </w:tr>
      <w:tr w:rsidR="0050229E" w:rsidRPr="00A9486C" w14:paraId="3898BC13" w14:textId="77777777" w:rsidTr="00F71820">
        <w:tc>
          <w:tcPr>
            <w:tcW w:w="704" w:type="dxa"/>
          </w:tcPr>
          <w:p w14:paraId="728399DB" w14:textId="77777777" w:rsidR="0050229E" w:rsidRPr="00A9486C" w:rsidRDefault="0050229E" w:rsidP="0050229E">
            <w:pPr>
              <w:numPr>
                <w:ilvl w:val="0"/>
                <w:numId w:val="7"/>
              </w:numPr>
              <w:spacing w:after="200" w:line="276" w:lineRule="auto"/>
              <w:contextualSpacing/>
              <w:jc w:val="both"/>
              <w:rPr>
                <w:szCs w:val="24"/>
                <w:lang w:eastAsia="lt-LT"/>
              </w:rPr>
            </w:pPr>
          </w:p>
        </w:tc>
        <w:tc>
          <w:tcPr>
            <w:tcW w:w="5462" w:type="dxa"/>
          </w:tcPr>
          <w:p w14:paraId="3DB25980" w14:textId="77777777" w:rsidR="0050229E" w:rsidRPr="00A9486C" w:rsidRDefault="0050229E" w:rsidP="00F71820">
            <w:pPr>
              <w:jc w:val="both"/>
              <w:rPr>
                <w:szCs w:val="24"/>
                <w:lang w:eastAsia="lt-LT"/>
              </w:rPr>
            </w:pPr>
            <w:r w:rsidRPr="00A9486C">
              <w:rPr>
                <w:szCs w:val="24"/>
                <w:lang w:eastAsia="lt-LT"/>
              </w:rPr>
              <w:t>Tarpinių ir galutinių vertinimo rezultatų pristatymo renginiai suinteresuotų Ministerijos padalinių, kitų institucijų, socialinių ekonominių partnerių atstovams</w:t>
            </w:r>
          </w:p>
        </w:tc>
        <w:tc>
          <w:tcPr>
            <w:tcW w:w="3178" w:type="dxa"/>
            <w:vAlign w:val="center"/>
          </w:tcPr>
          <w:p w14:paraId="7E204F8C" w14:textId="77777777" w:rsidR="0050229E" w:rsidRPr="00A9486C" w:rsidDel="007941DC" w:rsidRDefault="0050229E" w:rsidP="00F71820">
            <w:pPr>
              <w:spacing w:after="200" w:line="276" w:lineRule="auto"/>
              <w:jc w:val="both"/>
              <w:rPr>
                <w:szCs w:val="24"/>
                <w:lang w:eastAsia="lt-LT"/>
              </w:rPr>
            </w:pPr>
            <w:r w:rsidRPr="00A9486C">
              <w:rPr>
                <w:szCs w:val="24"/>
                <w:lang w:eastAsia="lt-LT"/>
              </w:rPr>
              <w:t>Laikas ir vieta bus suderinti su Ministerija</w:t>
            </w:r>
          </w:p>
        </w:tc>
      </w:tr>
    </w:tbl>
    <w:p w14:paraId="5673F573" w14:textId="77777777" w:rsidR="0050229E" w:rsidRPr="00A9486C" w:rsidRDefault="0050229E" w:rsidP="0050229E">
      <w:pPr>
        <w:jc w:val="both"/>
        <w:rPr>
          <w:szCs w:val="24"/>
          <w:lang w:eastAsia="lt-LT"/>
        </w:rPr>
      </w:pPr>
    </w:p>
    <w:p w14:paraId="399C20BB" w14:textId="77777777" w:rsidR="0050229E" w:rsidRDefault="0050229E" w:rsidP="0050229E">
      <w:pPr>
        <w:jc w:val="center"/>
        <w:rPr>
          <w:b/>
          <w:bCs/>
          <w:szCs w:val="24"/>
          <w:lang w:eastAsia="lt-LT"/>
        </w:rPr>
      </w:pPr>
    </w:p>
    <w:p w14:paraId="35A08B9D" w14:textId="77777777" w:rsidR="0050229E" w:rsidRDefault="0050229E" w:rsidP="0050229E">
      <w:pPr>
        <w:jc w:val="center"/>
        <w:rPr>
          <w:b/>
          <w:bCs/>
          <w:szCs w:val="24"/>
          <w:lang w:eastAsia="lt-LT"/>
        </w:rPr>
      </w:pPr>
    </w:p>
    <w:p w14:paraId="6B18CC2A" w14:textId="77777777" w:rsidR="0050229E" w:rsidRDefault="0050229E" w:rsidP="0050229E">
      <w:pPr>
        <w:jc w:val="center"/>
        <w:rPr>
          <w:b/>
          <w:bCs/>
          <w:szCs w:val="24"/>
          <w:lang w:eastAsia="lt-LT"/>
        </w:rPr>
      </w:pPr>
    </w:p>
    <w:p w14:paraId="315D6810" w14:textId="77777777" w:rsidR="0050229E" w:rsidRPr="00A9486C" w:rsidRDefault="0050229E" w:rsidP="0050229E">
      <w:pPr>
        <w:jc w:val="center"/>
        <w:rPr>
          <w:b/>
          <w:bCs/>
          <w:szCs w:val="24"/>
          <w:lang w:eastAsia="lt-LT"/>
        </w:rPr>
      </w:pPr>
      <w:r w:rsidRPr="00A9486C">
        <w:rPr>
          <w:b/>
          <w:bCs/>
          <w:szCs w:val="24"/>
          <w:lang w:eastAsia="lt-LT"/>
        </w:rPr>
        <w:t xml:space="preserve">V. ATASKAITŲ RENGIMO REIKALAVIMAI </w:t>
      </w:r>
    </w:p>
    <w:p w14:paraId="676DEA94" w14:textId="77777777" w:rsidR="0050229E" w:rsidRPr="00A9486C" w:rsidRDefault="0050229E" w:rsidP="0050229E">
      <w:pPr>
        <w:jc w:val="both"/>
        <w:rPr>
          <w:szCs w:val="24"/>
          <w:lang w:eastAsia="lt-LT"/>
        </w:rPr>
      </w:pPr>
    </w:p>
    <w:p w14:paraId="7ECD1584"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Paslaugų teikėjas, laikydamasis techninėje specifikacijoje nurodyto termino, turės parengti įvadinę vertinimų ataskaitą, kurioje turės būti pateikta ši informacija: </w:t>
      </w:r>
    </w:p>
    <w:p w14:paraId="1CBF5C6C"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Pr>
          <w:szCs w:val="24"/>
          <w:lang w:eastAsia="lt-LT"/>
        </w:rPr>
        <w:t>Detalizuotas tarpinių vertinimo ataskaitų turinys; a</w:t>
      </w:r>
      <w:r w:rsidRPr="00A9486C">
        <w:rPr>
          <w:szCs w:val="24"/>
          <w:lang w:eastAsia="lt-LT"/>
        </w:rPr>
        <w:t>prašytos vertinimo veiklos, jų atlikimo etapai ir tvarkaraštis, ekspertų priskyrimas vertinimo veikloms atsižvelgiant į pasiūlyme nurodytas ir kitas jų turimas kompetencijas;</w:t>
      </w:r>
    </w:p>
    <w:p w14:paraId="74494B43"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Detalizuota vertinimo metodika, be kita ko: atlikta teorinės bei empirinės literatūros apžvalga; detalizuoti vertinimo klausimai ir sprendimo kriterijai; nurodyti vertinimo metodai, duomenų ir informacijos šaltiniai, duomenų rinkimui ir vertinimo metodų įgyvendinimui reikalingų priemonių aprašymas (pavyzdžiui, klausimynai, respondentų sąrašai, apklausų tvarkaraščiai ir kt.);</w:t>
      </w:r>
    </w:p>
    <w:p w14:paraId="3AD933BD"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kiti su užsakovu įvadinio susitikimo metu aptarti vertinimo organizavimo ir įgyvendinimo klausimai.</w:t>
      </w:r>
    </w:p>
    <w:p w14:paraId="39A2B0CD"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Ministerija pastabas įvadinei ataskaitai (jei tokių būtų) pateiks per 10 darbo dienų nuo jos pateikimo.</w:t>
      </w:r>
    </w:p>
    <w:p w14:paraId="31658BD4"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Paslaugų teikėjas, laikydamasis techninėje specifikacijoje nurodytų terminų, turės pateikti tarpines vertinimo ataskaitas. Tarpinių ir galutinių vertinimo ataskaitų turiniui keliami šie reikalavimai:</w:t>
      </w:r>
    </w:p>
    <w:p w14:paraId="1FB21850"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Pirmoje tarpinėje </w:t>
      </w:r>
      <w:r w:rsidRPr="00A9486C">
        <w:rPr>
          <w:b/>
          <w:szCs w:val="24"/>
          <w:lang w:eastAsia="lt-LT"/>
        </w:rPr>
        <w:t>Lietuvos BŽŪP SP</w:t>
      </w:r>
      <w:r w:rsidRPr="00A9486C">
        <w:rPr>
          <w:szCs w:val="24"/>
          <w:lang w:eastAsia="lt-LT"/>
        </w:rPr>
        <w:t xml:space="preserve"> </w:t>
      </w:r>
      <w:proofErr w:type="spellStart"/>
      <w:r w:rsidRPr="006E75A3">
        <w:rPr>
          <w:b/>
          <w:bCs/>
          <w:szCs w:val="24"/>
          <w:lang w:eastAsia="lt-LT"/>
        </w:rPr>
        <w:t>SP</w:t>
      </w:r>
      <w:proofErr w:type="spellEnd"/>
      <w:r w:rsidRPr="006E75A3">
        <w:rPr>
          <w:b/>
          <w:bCs/>
          <w:szCs w:val="24"/>
          <w:lang w:eastAsia="lt-LT"/>
        </w:rPr>
        <w:t xml:space="preserve"> </w:t>
      </w:r>
      <w:proofErr w:type="spellStart"/>
      <w:r w:rsidRPr="006E75A3">
        <w:rPr>
          <w:b/>
          <w:bCs/>
          <w:szCs w:val="24"/>
          <w:lang w:eastAsia="lt-LT"/>
        </w:rPr>
        <w:t>ex</w:t>
      </w:r>
      <w:proofErr w:type="spellEnd"/>
      <w:r w:rsidRPr="006E75A3">
        <w:rPr>
          <w:b/>
          <w:bCs/>
          <w:szCs w:val="24"/>
          <w:lang w:eastAsia="lt-LT"/>
        </w:rPr>
        <w:t xml:space="preserve"> ante</w:t>
      </w:r>
      <w:r w:rsidRPr="00A9486C">
        <w:rPr>
          <w:szCs w:val="24"/>
          <w:lang w:eastAsia="lt-LT"/>
        </w:rPr>
        <w:t xml:space="preserve"> vertinimo ataskaitoje turės būti pateikti techninės specifikacijos 7.2.1 papunktyje nurodytos dalies vertinimo rezultatai. Pateiktos išvados ir rekomendacijos dėl šios dalies tobulinimo.</w:t>
      </w:r>
    </w:p>
    <w:p w14:paraId="0E5B75CE"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Pirmoje tarpinėje </w:t>
      </w:r>
      <w:r w:rsidRPr="00A9486C">
        <w:rPr>
          <w:b/>
          <w:szCs w:val="24"/>
          <w:lang w:eastAsia="lt-LT"/>
        </w:rPr>
        <w:t>Lietuvos BŽŪP SP</w:t>
      </w:r>
      <w:r w:rsidRPr="00A9486C" w:rsidDel="0037527D">
        <w:rPr>
          <w:szCs w:val="24"/>
          <w:lang w:eastAsia="lt-LT"/>
        </w:rPr>
        <w:t xml:space="preserve"> </w:t>
      </w:r>
      <w:r w:rsidRPr="00A9486C">
        <w:rPr>
          <w:b/>
          <w:szCs w:val="24"/>
          <w:lang w:eastAsia="lt-LT"/>
        </w:rPr>
        <w:t xml:space="preserve">SPAV </w:t>
      </w:r>
      <w:r w:rsidRPr="00A9486C">
        <w:rPr>
          <w:szCs w:val="24"/>
          <w:lang w:eastAsia="lt-LT"/>
        </w:rPr>
        <w:t>ataskaitoje turės būti pateikti preliminarūs vertinimo rezultatai pagal Įvadinėje ataskaitoje patvirtintas šios vertinimo dalies apimtis.</w:t>
      </w:r>
    </w:p>
    <w:p w14:paraId="65C310E9"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Antroje tarpinėje </w:t>
      </w:r>
      <w:r w:rsidRPr="00A9486C">
        <w:rPr>
          <w:b/>
          <w:szCs w:val="24"/>
          <w:lang w:eastAsia="lt-LT"/>
        </w:rPr>
        <w:t>Lietuvos BŽŪP SP</w:t>
      </w:r>
      <w:r w:rsidRPr="00A9486C" w:rsidDel="00AD10D7">
        <w:rPr>
          <w:b/>
          <w:szCs w:val="24"/>
          <w:lang w:eastAsia="lt-LT"/>
        </w:rPr>
        <w:t xml:space="preserve"> </w:t>
      </w:r>
      <w:proofErr w:type="spellStart"/>
      <w:r w:rsidRPr="00D946E0">
        <w:rPr>
          <w:b/>
          <w:szCs w:val="24"/>
          <w:lang w:eastAsia="lt-LT"/>
        </w:rPr>
        <w:t>SP</w:t>
      </w:r>
      <w:proofErr w:type="spellEnd"/>
      <w:r w:rsidRPr="00D946E0">
        <w:rPr>
          <w:b/>
          <w:szCs w:val="24"/>
          <w:lang w:eastAsia="lt-LT"/>
        </w:rPr>
        <w:t xml:space="preserve"> </w:t>
      </w:r>
      <w:proofErr w:type="spellStart"/>
      <w:r w:rsidRPr="006E75A3">
        <w:rPr>
          <w:b/>
          <w:szCs w:val="24"/>
          <w:lang w:eastAsia="lt-LT"/>
        </w:rPr>
        <w:t>ex</w:t>
      </w:r>
      <w:proofErr w:type="spellEnd"/>
      <w:r w:rsidRPr="006E75A3">
        <w:rPr>
          <w:b/>
          <w:szCs w:val="24"/>
          <w:lang w:eastAsia="lt-LT"/>
        </w:rPr>
        <w:t xml:space="preserve"> ante</w:t>
      </w:r>
      <w:r w:rsidRPr="00A9486C">
        <w:rPr>
          <w:szCs w:val="24"/>
          <w:lang w:eastAsia="lt-LT"/>
        </w:rPr>
        <w:t xml:space="preserve"> vertinimo ataskaitoje turės būti pateikti techninės specifikacijos 7.2.2 papunktyje nurodytos dalies vertinimo rezultatai. Pateiktos išvados ir rekomendacijos dėl šios dalies tobulinimo.</w:t>
      </w:r>
    </w:p>
    <w:p w14:paraId="076CB9E0"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Antroje tarpinėje </w:t>
      </w:r>
      <w:r w:rsidRPr="00A9486C">
        <w:rPr>
          <w:b/>
          <w:szCs w:val="24"/>
          <w:lang w:eastAsia="lt-LT"/>
        </w:rPr>
        <w:t>Lietuvos BŽŪP SP</w:t>
      </w:r>
      <w:r w:rsidRPr="00A9486C" w:rsidDel="00DF5028">
        <w:rPr>
          <w:b/>
          <w:szCs w:val="24"/>
          <w:lang w:eastAsia="lt-LT"/>
        </w:rPr>
        <w:t xml:space="preserve"> </w:t>
      </w:r>
      <w:r w:rsidRPr="00A9486C">
        <w:rPr>
          <w:b/>
          <w:szCs w:val="24"/>
          <w:lang w:eastAsia="lt-LT"/>
        </w:rPr>
        <w:t xml:space="preserve">SPAV </w:t>
      </w:r>
      <w:r w:rsidRPr="00A9486C">
        <w:rPr>
          <w:szCs w:val="24"/>
          <w:lang w:eastAsia="lt-LT"/>
        </w:rPr>
        <w:t>ataskaitoje turės būti pateikti preliminarūs vertinimo rezultatai pagal Įvadinėje ataskaitoje patvirtintas šios vertinimo dalies apimtis.</w:t>
      </w:r>
    </w:p>
    <w:p w14:paraId="71238A2F"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Laikydamasis techninėje specifikacijoje nurodytų terminų, paslaugų teikėjas turės pateikti galutines vertinimo ataskaitas ir jų santraukas, nurodytas techninės specifikacijos 5.1-5.3 papunkčiuose, kuriuose turės būti pateikti vertinimo rezultatai, išvados ir rekomendacijos pagal visas SPR 95 str. nurodytas strateginio plano dalis, kurioms taikomi SPR 125 str. reikalavimai. Rengiant galutines vertinimo ataskaitas, jų išvadas ir rekomendacijas, be kita ko, turės būti atsižvelgta į ES ir </w:t>
      </w:r>
      <w:r w:rsidRPr="00A9486C">
        <w:rPr>
          <w:szCs w:val="24"/>
          <w:lang w:eastAsia="lt-LT"/>
        </w:rPr>
        <w:lastRenderedPageBreak/>
        <w:t xml:space="preserve">nacionalinių teisės aktų pokyčius, įvertinta, ar (ir) kaip naujausiose </w:t>
      </w:r>
      <w:r w:rsidRPr="00A9486C">
        <w:rPr>
          <w:bCs/>
          <w:szCs w:val="24"/>
          <w:lang w:eastAsia="lt-LT"/>
        </w:rPr>
        <w:t xml:space="preserve">Lietuvos BŽŪP SP </w:t>
      </w:r>
      <w:r w:rsidRPr="00A9486C">
        <w:rPr>
          <w:szCs w:val="24"/>
          <w:lang w:eastAsia="lt-LT"/>
        </w:rPr>
        <w:t xml:space="preserve">redakcijose atsižvelgta į  ankstesnių vertinimo etapų pastabas, išvadas ir rekomendacijas, </w:t>
      </w:r>
      <w:r w:rsidRPr="00A9486C">
        <w:rPr>
          <w:bCs/>
          <w:szCs w:val="24"/>
          <w:lang w:eastAsia="lt-LT"/>
        </w:rPr>
        <w:t>kitą informaciją.</w:t>
      </w:r>
    </w:p>
    <w:p w14:paraId="7B7915AC"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9 punkto lentelėje nurodyti ilgiausi ataskaitų pateikimo terminai, kurie taikomi, jei vertintojams vienu metu teikiama iš karto visa tam tikro etapo informacija. Jei informacija teikiama dalimis, tų dalių vertinimui abipusiu sutarimu gali būti suderinami trumpesni tų dalių vertinimo terminai.</w:t>
      </w:r>
    </w:p>
    <w:p w14:paraId="6F415733"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Per 15 darbo dienų nuo 11.1</w:t>
      </w:r>
      <w:r>
        <w:rPr>
          <w:szCs w:val="24"/>
          <w:lang w:eastAsia="lt-LT"/>
        </w:rPr>
        <w:t>–</w:t>
      </w:r>
      <w:r w:rsidRPr="00A9486C">
        <w:rPr>
          <w:szCs w:val="24"/>
          <w:lang w:eastAsia="lt-LT"/>
        </w:rPr>
        <w:t xml:space="preserve">11.5 papunkčiuose nurodytų tarpinių ataskaitų pateikimo Ministerija vertintojams pateiks pastabas, į kurias turi būti atsižvelgta ir atitinkamos ataskaitos pataisytos per 10 darbo dienų (galutinių ataskaitų atveju – per 15 darbo dienų) ar kitą vėlesnį Ministerijos nurodytą terminą. </w:t>
      </w:r>
    </w:p>
    <w:p w14:paraId="38BB3923"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jc w:val="both"/>
        <w:rPr>
          <w:szCs w:val="24"/>
          <w:lang w:eastAsia="lt-LT"/>
        </w:rPr>
      </w:pPr>
      <w:r w:rsidRPr="00A9486C">
        <w:rPr>
          <w:bCs/>
          <w:szCs w:val="24"/>
          <w:lang w:eastAsia="lt-LT"/>
        </w:rPr>
        <w:t xml:space="preserve">FP </w:t>
      </w:r>
      <w:proofErr w:type="spellStart"/>
      <w:r w:rsidRPr="00A9486C">
        <w:rPr>
          <w:bCs/>
          <w:szCs w:val="24"/>
          <w:lang w:eastAsia="lt-LT"/>
        </w:rPr>
        <w:t>ex</w:t>
      </w:r>
      <w:proofErr w:type="spellEnd"/>
      <w:r w:rsidRPr="00A9486C">
        <w:rPr>
          <w:bCs/>
          <w:szCs w:val="24"/>
          <w:lang w:eastAsia="lt-LT"/>
        </w:rPr>
        <w:t xml:space="preserve"> ante vertinimo galutinė ataskaita, nurodyta techninės specifikacijos 5.4 papunktyje, turi būti pateikta laikantis techninėje specifikacijoje nurodytų terminų. Dėl kokių nors priežasčių pasikeitus galutiniam Lietuvos strateginio plano turiniui, užsakovo prašymu paslaugų teikėjas per protingą terminą privalo 1 kartą neatlygintinai atlikti galutinės FP </w:t>
      </w:r>
      <w:proofErr w:type="spellStart"/>
      <w:r w:rsidRPr="00A9486C">
        <w:rPr>
          <w:bCs/>
          <w:szCs w:val="24"/>
          <w:lang w:eastAsia="lt-LT"/>
        </w:rPr>
        <w:t>ex</w:t>
      </w:r>
      <w:proofErr w:type="spellEnd"/>
      <w:r w:rsidRPr="00A9486C">
        <w:rPr>
          <w:bCs/>
          <w:szCs w:val="24"/>
          <w:lang w:eastAsia="lt-LT"/>
        </w:rPr>
        <w:t xml:space="preserve"> ante vertinimo ataskaitos atnaujinimą ar tikslinimą.</w:t>
      </w:r>
    </w:p>
    <w:p w14:paraId="018BC611"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Įvadinė, tarpinės ir galutinės ataskaitos teikiamos elektroniniu formatu (</w:t>
      </w:r>
      <w:proofErr w:type="spellStart"/>
      <w:r w:rsidRPr="00A9486C">
        <w:rPr>
          <w:i/>
          <w:szCs w:val="24"/>
          <w:lang w:eastAsia="lt-LT"/>
        </w:rPr>
        <w:t>doc</w:t>
      </w:r>
      <w:proofErr w:type="spellEnd"/>
      <w:r w:rsidRPr="00A9486C">
        <w:rPr>
          <w:i/>
          <w:szCs w:val="24"/>
          <w:lang w:eastAsia="lt-LT"/>
        </w:rPr>
        <w:t xml:space="preserve"> ar </w:t>
      </w:r>
      <w:proofErr w:type="spellStart"/>
      <w:r w:rsidRPr="00A9486C">
        <w:rPr>
          <w:i/>
          <w:szCs w:val="24"/>
          <w:lang w:eastAsia="lt-LT"/>
        </w:rPr>
        <w:t>pdf</w:t>
      </w:r>
      <w:proofErr w:type="spellEnd"/>
      <w:r w:rsidRPr="00A9486C">
        <w:rPr>
          <w:i/>
          <w:szCs w:val="24"/>
          <w:lang w:eastAsia="lt-LT"/>
        </w:rPr>
        <w:t xml:space="preserve"> </w:t>
      </w:r>
      <w:r w:rsidRPr="00A9486C">
        <w:rPr>
          <w:szCs w:val="24"/>
          <w:lang w:eastAsia="lt-LT"/>
        </w:rPr>
        <w:t>arba jiems lygiaverčiais formatais</w:t>
      </w:r>
      <w:r>
        <w:rPr>
          <w:szCs w:val="24"/>
          <w:lang w:eastAsia="lt-LT"/>
        </w:rPr>
        <w:t>.</w:t>
      </w:r>
      <w:r w:rsidRPr="00A9486C">
        <w:rPr>
          <w:szCs w:val="24"/>
          <w:lang w:eastAsia="lt-LT"/>
        </w:rPr>
        <w:t xml:space="preserve"> </w:t>
      </w:r>
      <w:r>
        <w:rPr>
          <w:szCs w:val="24"/>
          <w:lang w:eastAsia="lt-LT"/>
        </w:rPr>
        <w:t>A</w:t>
      </w:r>
      <w:r w:rsidRPr="00A9486C">
        <w:rPr>
          <w:szCs w:val="24"/>
          <w:lang w:eastAsia="lt-LT"/>
        </w:rPr>
        <w:t>taskaitų priedai gali būti teikiami ir kitais formatais, jei to reikalautų jų pobūdis).</w:t>
      </w:r>
    </w:p>
    <w:p w14:paraId="6A3A1F30"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Galutinėse </w:t>
      </w:r>
      <w:r w:rsidRPr="00A9486C">
        <w:rPr>
          <w:b/>
          <w:szCs w:val="24"/>
          <w:lang w:eastAsia="lt-LT"/>
        </w:rPr>
        <w:t>Lietuvos BŽŪP SP</w:t>
      </w:r>
      <w:r w:rsidRPr="00A9486C" w:rsidDel="0037527D">
        <w:rPr>
          <w:szCs w:val="24"/>
          <w:lang w:eastAsia="lt-LT"/>
        </w:rPr>
        <w:t xml:space="preserve"> </w:t>
      </w:r>
      <w:proofErr w:type="spellStart"/>
      <w:r w:rsidRPr="00A9486C">
        <w:rPr>
          <w:szCs w:val="24"/>
          <w:lang w:eastAsia="lt-LT"/>
        </w:rPr>
        <w:t>ex</w:t>
      </w:r>
      <w:proofErr w:type="spellEnd"/>
      <w:r w:rsidRPr="00A9486C">
        <w:rPr>
          <w:szCs w:val="24"/>
          <w:lang w:eastAsia="lt-LT"/>
        </w:rPr>
        <w:t xml:space="preserve"> ante ir FP </w:t>
      </w:r>
      <w:proofErr w:type="spellStart"/>
      <w:r w:rsidRPr="00A9486C">
        <w:rPr>
          <w:szCs w:val="24"/>
          <w:lang w:eastAsia="lt-LT"/>
        </w:rPr>
        <w:t>ex</w:t>
      </w:r>
      <w:proofErr w:type="spellEnd"/>
      <w:r w:rsidRPr="00A9486C">
        <w:rPr>
          <w:szCs w:val="24"/>
          <w:lang w:eastAsia="lt-LT"/>
        </w:rPr>
        <w:t xml:space="preserve"> ante vertinimo ataskaitose</w:t>
      </w:r>
      <w:r w:rsidRPr="00A9486C" w:rsidDel="00DE630F">
        <w:rPr>
          <w:szCs w:val="24"/>
          <w:lang w:eastAsia="lt-LT"/>
        </w:rPr>
        <w:t xml:space="preserve"> </w:t>
      </w:r>
      <w:r w:rsidRPr="00A9486C">
        <w:rPr>
          <w:szCs w:val="24"/>
          <w:lang w:eastAsia="lt-LT"/>
        </w:rPr>
        <w:t>negali būti stiliaus ir kalbos klaidų. Šių dokumentų kalba turi būti patikrinta lietuvių kalbos redaktoriaus ir patvirtinta jo parašu.</w:t>
      </w:r>
    </w:p>
    <w:p w14:paraId="52CB6A4D" w14:textId="77777777" w:rsidR="0050229E" w:rsidRPr="00A9486C" w:rsidRDefault="0050229E" w:rsidP="0050229E">
      <w:pPr>
        <w:jc w:val="center"/>
        <w:rPr>
          <w:b/>
          <w:bCs/>
          <w:szCs w:val="24"/>
          <w:lang w:eastAsia="lt-LT"/>
        </w:rPr>
      </w:pPr>
    </w:p>
    <w:p w14:paraId="60B9E68F" w14:textId="77777777" w:rsidR="0050229E" w:rsidRPr="00A9486C" w:rsidRDefault="0050229E" w:rsidP="0050229E">
      <w:pPr>
        <w:jc w:val="center"/>
        <w:rPr>
          <w:b/>
          <w:bCs/>
          <w:szCs w:val="24"/>
          <w:lang w:eastAsia="lt-LT"/>
        </w:rPr>
      </w:pPr>
      <w:r w:rsidRPr="00A9486C">
        <w:rPr>
          <w:b/>
          <w:bCs/>
          <w:szCs w:val="24"/>
          <w:lang w:eastAsia="lt-LT"/>
        </w:rPr>
        <w:t>VI. KITA INFORMACIJA</w:t>
      </w:r>
    </w:p>
    <w:p w14:paraId="56CEECF1" w14:textId="77777777" w:rsidR="0050229E" w:rsidRPr="00A9486C" w:rsidRDefault="0050229E" w:rsidP="0050229E">
      <w:pPr>
        <w:autoSpaceDE w:val="0"/>
        <w:autoSpaceDN w:val="0"/>
        <w:adjustRightInd w:val="0"/>
        <w:jc w:val="both"/>
        <w:rPr>
          <w:b/>
          <w:color w:val="000000"/>
          <w:szCs w:val="24"/>
          <w:lang w:eastAsia="lt-LT"/>
        </w:rPr>
      </w:pPr>
    </w:p>
    <w:p w14:paraId="5B64B017"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rPr>
          <w:b/>
          <w:color w:val="000000"/>
          <w:szCs w:val="24"/>
          <w:lang w:eastAsia="lt-LT"/>
        </w:rPr>
      </w:pPr>
      <w:r w:rsidRPr="00A9486C">
        <w:rPr>
          <w:b/>
          <w:color w:val="000000"/>
          <w:szCs w:val="24"/>
          <w:lang w:eastAsia="lt-LT"/>
        </w:rPr>
        <w:t>Vertinimo kokybės priežiūra.</w:t>
      </w:r>
    </w:p>
    <w:p w14:paraId="40C45AB1"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 xml:space="preserve">Už vertinimo koordinavimą atsakingas Ministerijos Trečiasis Europos Sąjungos paramos skyrius. </w:t>
      </w:r>
    </w:p>
    <w:p w14:paraId="47D80733"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Europos Komisijai, Lietuvos valdžios institucijoms ar įstaigoms, socialiniams ekonominiams partneriams pareiškus pastabų ar klausimų dėl vertinimo ataskaitų turinio ar kokybės, paslaugų teikėjas privalės pastabas ir klausimus išnagrinėti ir į juos atsakyti, o prireikus ir pataisyti ataskaitas savo sąskaita, be papildomo atlygio per su Ministerija suderintą protingą terminą.</w:t>
      </w:r>
    </w:p>
    <w:p w14:paraId="459913A2"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bCs/>
          <w:szCs w:val="24"/>
          <w:lang w:eastAsia="lt-LT"/>
        </w:rPr>
        <w:t>Vertinimo rizika ir jos valdymo priemon</w:t>
      </w:r>
      <w:r w:rsidRPr="00A9486C">
        <w:rPr>
          <w:szCs w:val="24"/>
          <w:lang w:eastAsia="lt-LT"/>
        </w:rPr>
        <w:t>ė</w:t>
      </w:r>
      <w:r w:rsidRPr="00A9486C">
        <w:rPr>
          <w:bCs/>
          <w:szCs w:val="24"/>
          <w:lang w:eastAsia="lt-LT"/>
        </w:rPr>
        <w:t>s:</w:t>
      </w:r>
    </w:p>
    <w:p w14:paraId="1C92FB1B" w14:textId="77777777" w:rsidR="0050229E" w:rsidRPr="00A9486C" w:rsidRDefault="0050229E" w:rsidP="0050229E">
      <w:pPr>
        <w:numPr>
          <w:ilvl w:val="2"/>
          <w:numId w:val="2"/>
        </w:numPr>
        <w:tabs>
          <w:tab w:val="left" w:pos="426"/>
        </w:tabs>
        <w:autoSpaceDE w:val="0"/>
        <w:autoSpaceDN w:val="0"/>
        <w:adjustRightInd w:val="0"/>
        <w:spacing w:after="200" w:line="276" w:lineRule="auto"/>
        <w:ind w:left="34" w:firstLine="326"/>
        <w:contextualSpacing/>
        <w:jc w:val="both"/>
        <w:rPr>
          <w:szCs w:val="24"/>
          <w:lang w:eastAsia="lt-LT"/>
        </w:rPr>
      </w:pPr>
      <w:r w:rsidRPr="00A9486C">
        <w:rPr>
          <w:szCs w:val="24"/>
          <w:lang w:eastAsia="lt-LT"/>
        </w:rPr>
        <w:t>Nepakankamas institucijų dalyvavimas ir bendradarbiavimas atliekant vertinimą. Šią riziką galima sumažinti, į vertinimo vykdymą įtraukiant suinteresuotų Ministerijos padalinių, kitų institucijų ir socialinių ekonominių partnerių atstovus, organizuojant įvadinės, tarpinių vertinimo ataskaitų ir galutinių ataskaitų projektų pristatymus, teikiant vertintojams pastabas dėl vertinimo ataskaitų projektų tobulinimo;</w:t>
      </w:r>
    </w:p>
    <w:p w14:paraId="4DB7F8B3" w14:textId="77777777" w:rsidR="0050229E" w:rsidRPr="00A9486C" w:rsidRDefault="0050229E" w:rsidP="0050229E">
      <w:pPr>
        <w:numPr>
          <w:ilvl w:val="2"/>
          <w:numId w:val="2"/>
        </w:numPr>
        <w:tabs>
          <w:tab w:val="left" w:pos="426"/>
        </w:tabs>
        <w:autoSpaceDE w:val="0"/>
        <w:autoSpaceDN w:val="0"/>
        <w:adjustRightInd w:val="0"/>
        <w:spacing w:after="200" w:line="276" w:lineRule="auto"/>
        <w:ind w:left="34" w:firstLine="326"/>
        <w:contextualSpacing/>
        <w:jc w:val="both"/>
        <w:rPr>
          <w:szCs w:val="24"/>
          <w:lang w:eastAsia="lt-LT"/>
        </w:rPr>
      </w:pPr>
      <w:r w:rsidRPr="00A9486C">
        <w:rPr>
          <w:szCs w:val="24"/>
          <w:lang w:eastAsia="lt-LT"/>
        </w:rPr>
        <w:t>Vertinimo objektyvumo ir nešališkumo grėsmė. Šią riziką galima sumažinti, paslaugos teikėjui savo pasiūlyme aiškiai ir išsamiai pagrindžiant, kaip vertinimo metu jis užtikrins savo vertinimo objektyvumą, nešališkumą ir duomenų patikimumą;</w:t>
      </w:r>
    </w:p>
    <w:p w14:paraId="25CCC638" w14:textId="77777777" w:rsidR="0050229E" w:rsidRPr="00A9486C" w:rsidRDefault="0050229E" w:rsidP="0050229E">
      <w:pPr>
        <w:numPr>
          <w:ilvl w:val="2"/>
          <w:numId w:val="2"/>
        </w:numPr>
        <w:tabs>
          <w:tab w:val="left" w:pos="426"/>
        </w:tabs>
        <w:autoSpaceDE w:val="0"/>
        <w:autoSpaceDN w:val="0"/>
        <w:adjustRightInd w:val="0"/>
        <w:spacing w:after="200" w:line="276" w:lineRule="auto"/>
        <w:ind w:left="34" w:firstLine="326"/>
        <w:contextualSpacing/>
        <w:jc w:val="both"/>
        <w:rPr>
          <w:szCs w:val="24"/>
          <w:lang w:eastAsia="lt-LT"/>
        </w:rPr>
      </w:pPr>
      <w:r w:rsidRPr="00A9486C">
        <w:rPr>
          <w:szCs w:val="24"/>
          <w:lang w:eastAsia="lt-LT"/>
        </w:rPr>
        <w:t>Duomenų prieinamumo ir patikimumo, informacijos trūkumo problema. Šią riziką galima sumažinti užtikrinant, jog paslaugos teikėjui būtų suteikta visa turima ir reikalinga informacija iš Ministerijos, Nacionalinės mokėjimo agentūros prie Žemės ūkio ministerijos, kitų Ministerijai pavaldžių įstaigų, taip pat ir ankstesnių atliktų vertinimų ir tyrimų medžiaga, kad išvengti pakartotino tam tikrų duomenų rinkimo. Be to, paslaugos teikėjas turi pats numatyti ir pasiūlyti, kaip užpildys informacijos ir duomenų spragas.</w:t>
      </w:r>
    </w:p>
    <w:p w14:paraId="3BDD07FE" w14:textId="77777777" w:rsidR="0050229E" w:rsidRPr="00A9486C" w:rsidRDefault="0050229E" w:rsidP="0050229E">
      <w:pPr>
        <w:numPr>
          <w:ilvl w:val="2"/>
          <w:numId w:val="2"/>
        </w:numPr>
        <w:tabs>
          <w:tab w:val="left" w:pos="426"/>
        </w:tabs>
        <w:autoSpaceDE w:val="0"/>
        <w:autoSpaceDN w:val="0"/>
        <w:adjustRightInd w:val="0"/>
        <w:spacing w:after="200" w:line="276" w:lineRule="auto"/>
        <w:ind w:left="34" w:firstLine="326"/>
        <w:contextualSpacing/>
        <w:jc w:val="both"/>
        <w:rPr>
          <w:color w:val="000000"/>
          <w:szCs w:val="24"/>
          <w:lang w:eastAsia="lt-LT"/>
        </w:rPr>
      </w:pPr>
      <w:r w:rsidRPr="00A9486C">
        <w:rPr>
          <w:szCs w:val="24"/>
          <w:lang w:eastAsia="lt-LT"/>
        </w:rPr>
        <w:lastRenderedPageBreak/>
        <w:t>Ypač svarbi yra rizika, susijusi su neapibrėžtumu dėl ES teisės aktų nuostatų turinio ir jų rengimo bei tvirtinimo terminų, įskaitant derybas dėl daugiametės finansinės perspektyvos, pereinamojo laikotarpio trukmės. Tikimasi, kad paslaugų teikėjas taikys optimalias šių rizikų valdymo priemones, įskaitant paslaugų teikimo lankstumą žmogiškųjų išteklių ir laiko požiūriais.</w:t>
      </w:r>
    </w:p>
    <w:p w14:paraId="0095F2EC" w14:textId="77777777" w:rsidR="0050229E" w:rsidRPr="00A9486C" w:rsidRDefault="0050229E" w:rsidP="0050229E">
      <w:pPr>
        <w:tabs>
          <w:tab w:val="left" w:pos="426"/>
        </w:tabs>
        <w:autoSpaceDE w:val="0"/>
        <w:autoSpaceDN w:val="0"/>
        <w:adjustRightInd w:val="0"/>
        <w:ind w:left="360"/>
        <w:contextualSpacing/>
        <w:jc w:val="both"/>
        <w:rPr>
          <w:color w:val="000000"/>
          <w:szCs w:val="24"/>
          <w:lang w:eastAsia="lt-LT"/>
        </w:rPr>
      </w:pPr>
    </w:p>
    <w:p w14:paraId="13950494"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rPr>
          <w:color w:val="000000"/>
          <w:szCs w:val="24"/>
          <w:lang w:eastAsia="lt-LT"/>
        </w:rPr>
      </w:pPr>
      <w:r w:rsidRPr="00A9486C">
        <w:rPr>
          <w:b/>
          <w:bCs/>
          <w:szCs w:val="24"/>
          <w:lang w:eastAsia="lt-LT"/>
        </w:rPr>
        <w:t>Viešinimo reikalavimai.</w:t>
      </w:r>
    </w:p>
    <w:p w14:paraId="56DD6820" w14:textId="77777777" w:rsidR="0050229E" w:rsidRPr="00A9486C" w:rsidRDefault="0050229E" w:rsidP="0050229E">
      <w:pPr>
        <w:tabs>
          <w:tab w:val="left" w:pos="284"/>
          <w:tab w:val="left" w:pos="426"/>
        </w:tabs>
        <w:autoSpaceDE w:val="0"/>
        <w:autoSpaceDN w:val="0"/>
        <w:adjustRightInd w:val="0"/>
        <w:contextualSpacing/>
        <w:rPr>
          <w:color w:val="000000"/>
          <w:szCs w:val="24"/>
          <w:lang w:eastAsia="lt-LT"/>
        </w:rPr>
      </w:pPr>
    </w:p>
    <w:p w14:paraId="06F0681C"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Paslaugų pirkimo sutarties įgyvendinimo dokumentuose (ataskaitose, renginių programose ir kituose dokumentuose) turės būti naudojami tinkami ES paramos viešinimo ženklai.</w:t>
      </w:r>
    </w:p>
    <w:p w14:paraId="4FD6B91C"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Cs w:val="24"/>
          <w:lang w:eastAsia="lt-LT"/>
        </w:rPr>
      </w:pPr>
      <w:r w:rsidRPr="00A9486C">
        <w:rPr>
          <w:szCs w:val="24"/>
          <w:lang w:eastAsia="lt-LT"/>
        </w:rPr>
        <w:t>Vertinimo procese dalyvaujantys asmenys turės būti informuojami, kad paslaugų sutartis finansuojama iš Lietuvos kaimo plėtros 2014–2020 metų programos lėšų, o paslaugos teikiamos Ministerijos užsakymu.</w:t>
      </w:r>
    </w:p>
    <w:p w14:paraId="7B885730" w14:textId="77777777" w:rsidR="0050229E" w:rsidRPr="00A9486C" w:rsidRDefault="0050229E" w:rsidP="0050229E">
      <w:pPr>
        <w:autoSpaceDE w:val="0"/>
        <w:autoSpaceDN w:val="0"/>
        <w:adjustRightInd w:val="0"/>
        <w:jc w:val="both"/>
        <w:rPr>
          <w:szCs w:val="24"/>
          <w:lang w:eastAsia="lt-LT"/>
        </w:rPr>
      </w:pPr>
    </w:p>
    <w:p w14:paraId="3885BB7B" w14:textId="77777777" w:rsidR="0050229E" w:rsidRPr="00A9486C" w:rsidRDefault="0050229E" w:rsidP="0050229E">
      <w:pPr>
        <w:numPr>
          <w:ilvl w:val="0"/>
          <w:numId w:val="2"/>
        </w:numPr>
        <w:tabs>
          <w:tab w:val="left" w:pos="284"/>
          <w:tab w:val="left" w:pos="426"/>
        </w:tabs>
        <w:autoSpaceDE w:val="0"/>
        <w:autoSpaceDN w:val="0"/>
        <w:adjustRightInd w:val="0"/>
        <w:spacing w:after="200" w:line="276" w:lineRule="auto"/>
        <w:ind w:left="0" w:firstLine="0"/>
        <w:contextualSpacing/>
        <w:rPr>
          <w:b/>
          <w:szCs w:val="24"/>
          <w:lang w:eastAsia="lt-LT"/>
        </w:rPr>
      </w:pPr>
      <w:r w:rsidRPr="00A9486C">
        <w:rPr>
          <w:b/>
          <w:szCs w:val="24"/>
          <w:lang w:eastAsia="lt-LT"/>
        </w:rPr>
        <w:t xml:space="preserve">Vertinimui aktuali informacija. </w:t>
      </w:r>
    </w:p>
    <w:p w14:paraId="7D763F03" w14:textId="77777777" w:rsidR="0050229E" w:rsidRPr="00A9486C" w:rsidRDefault="0050229E" w:rsidP="0050229E">
      <w:pPr>
        <w:autoSpaceDE w:val="0"/>
        <w:autoSpaceDN w:val="0"/>
        <w:adjustRightInd w:val="0"/>
        <w:jc w:val="both"/>
        <w:rPr>
          <w:szCs w:val="24"/>
          <w:lang w:eastAsia="lt-LT"/>
        </w:rPr>
      </w:pPr>
      <w:r w:rsidRPr="00A9486C">
        <w:rPr>
          <w:szCs w:val="24"/>
          <w:lang w:eastAsia="lt-LT"/>
        </w:rPr>
        <w:t>(Sąrašas nėra baigtinis)</w:t>
      </w:r>
    </w:p>
    <w:p w14:paraId="3C5C546B"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Žemės ūkio ministerijos informacija apie pasirengimą BŽŪP laikotarpiui po 2020 metų: </w:t>
      </w:r>
      <w:hyperlink r:id="rId7" w:history="1">
        <w:r w:rsidRPr="00A9486C">
          <w:rPr>
            <w:sz w:val="23"/>
            <w:szCs w:val="23"/>
            <w:u w:val="single"/>
            <w:lang w:eastAsia="lt-LT"/>
          </w:rPr>
          <w:t>http://zum.lrv.lt/lt/veiklos-sritys/bendroji-zemes-ukio-politika/bzup-po-2020-metu</w:t>
        </w:r>
      </w:hyperlink>
      <w:r w:rsidRPr="00A9486C">
        <w:rPr>
          <w:sz w:val="23"/>
          <w:szCs w:val="23"/>
          <w:lang w:eastAsia="lt-LT"/>
        </w:rPr>
        <w:t xml:space="preserve">; </w:t>
      </w:r>
    </w:p>
    <w:p w14:paraId="3D1F704D"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Europos Komisijos informacija apie BŽŪP po 2020 metų: </w:t>
      </w:r>
      <w:hyperlink r:id="rId8" w:history="1">
        <w:r w:rsidRPr="00A9486C">
          <w:rPr>
            <w:sz w:val="23"/>
            <w:szCs w:val="23"/>
            <w:u w:val="single"/>
            <w:lang w:eastAsia="lt-LT"/>
          </w:rPr>
          <w:t>https://ec.europa.eu/info/food-farming-fisheries/key-policies/common-agricultural-policy/future-cap_en</w:t>
        </w:r>
      </w:hyperlink>
      <w:r w:rsidRPr="00A9486C">
        <w:rPr>
          <w:sz w:val="23"/>
          <w:szCs w:val="23"/>
          <w:lang w:eastAsia="lt-LT"/>
        </w:rPr>
        <w:t>;</w:t>
      </w:r>
    </w:p>
    <w:p w14:paraId="7A24153B"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ES strategija „Nuo ūkio iki stalo“ ir 2030 m. ES biologinės įvairovės strategija: </w:t>
      </w:r>
      <w:hyperlink r:id="rId9" w:history="1">
        <w:r w:rsidRPr="00A9486C">
          <w:rPr>
            <w:rStyle w:val="Hipersaitas"/>
            <w:sz w:val="23"/>
            <w:szCs w:val="23"/>
            <w:lang w:eastAsia="lt-LT"/>
          </w:rPr>
          <w:t>https://ec.europa.eu/commission/presscorner/detail/lt/ip_20_884</w:t>
        </w:r>
      </w:hyperlink>
      <w:r w:rsidRPr="00A9486C">
        <w:rPr>
          <w:sz w:val="23"/>
          <w:szCs w:val="23"/>
          <w:lang w:eastAsia="lt-LT"/>
        </w:rPr>
        <w:t xml:space="preserve">; </w:t>
      </w:r>
    </w:p>
    <w:p w14:paraId="554F81C7"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Lietuvos kaimo plėtros 2014–2020 m. programa (KPP2014-2020): </w:t>
      </w:r>
      <w:hyperlink r:id="rId10" w:history="1">
        <w:r w:rsidRPr="00A9486C">
          <w:rPr>
            <w:sz w:val="23"/>
            <w:szCs w:val="23"/>
            <w:u w:val="single"/>
            <w:lang w:eastAsia="lt-LT"/>
          </w:rPr>
          <w:t>http://zum.lrv.lt/lt/veiklos-sritys/kaimo-pletra/lietuvos-kaimo-pletros-2014-2020-m-programa/programa-2</w:t>
        </w:r>
      </w:hyperlink>
      <w:r w:rsidRPr="00A9486C">
        <w:rPr>
          <w:sz w:val="23"/>
          <w:szCs w:val="23"/>
          <w:lang w:eastAsia="lt-LT"/>
        </w:rPr>
        <w:t xml:space="preserve">; </w:t>
      </w:r>
    </w:p>
    <w:p w14:paraId="6632872F"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KPP 2014–2020 m. metinės pažangos ataskaitos, vertinimų ataskaitos: </w:t>
      </w:r>
      <w:hyperlink r:id="rId11" w:history="1">
        <w:r w:rsidRPr="00A9486C">
          <w:rPr>
            <w:sz w:val="23"/>
            <w:szCs w:val="23"/>
            <w:u w:val="single"/>
            <w:lang w:eastAsia="lt-LT"/>
          </w:rPr>
          <w:t>http://zum.lrv.lt/lt/veiklos-sritys/kaimo-pletra/lietuvos-kaimo-pletros-2014-2020-m-programa/stebesena-ir-vertinimas-1</w:t>
        </w:r>
      </w:hyperlink>
      <w:r w:rsidRPr="00A9486C">
        <w:rPr>
          <w:sz w:val="23"/>
          <w:szCs w:val="23"/>
          <w:lang w:eastAsia="lt-LT"/>
        </w:rPr>
        <w:t xml:space="preserve">; </w:t>
      </w:r>
    </w:p>
    <w:p w14:paraId="3B78F263"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Europos kaimo plėtros vertinimo pagalbos tarnybos 7 teminės darbo grupės rekomendacijos dėl strateginių planų vertinimo: </w:t>
      </w:r>
      <w:hyperlink r:id="rId12" w:history="1">
        <w:r w:rsidRPr="00A9486C">
          <w:rPr>
            <w:sz w:val="23"/>
            <w:szCs w:val="23"/>
            <w:u w:val="single"/>
            <w:lang w:eastAsia="lt-LT"/>
          </w:rPr>
          <w:t>https://enrd.ec.europa.eu/evaluation/thematic-working-groups/thematic-working-group-7-preparing-ex-ante-evaluation-cap_en</w:t>
        </w:r>
      </w:hyperlink>
      <w:r w:rsidRPr="00A9486C">
        <w:rPr>
          <w:sz w:val="23"/>
          <w:szCs w:val="23"/>
          <w:lang w:eastAsia="lt-LT"/>
        </w:rPr>
        <w:t>;</w:t>
      </w:r>
    </w:p>
    <w:p w14:paraId="29F7916A"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Europos kaimo plėtros tinklo ir vertinimo pagalbos tarnybos publikacijos: </w:t>
      </w:r>
      <w:hyperlink r:id="rId13" w:history="1">
        <w:r w:rsidRPr="00A9486C">
          <w:rPr>
            <w:sz w:val="23"/>
            <w:szCs w:val="23"/>
            <w:u w:val="single"/>
            <w:lang w:eastAsia="lt-LT"/>
          </w:rPr>
          <w:t>https://enrd.ec.europa.eu/publications_en</w:t>
        </w:r>
      </w:hyperlink>
      <w:r w:rsidRPr="00A9486C">
        <w:rPr>
          <w:sz w:val="23"/>
          <w:szCs w:val="23"/>
          <w:lang w:eastAsia="lt-LT"/>
        </w:rPr>
        <w:t xml:space="preserve">; </w:t>
      </w:r>
    </w:p>
    <w:p w14:paraId="199253FF"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2014–2020 m. kaimo plėtros programų </w:t>
      </w:r>
      <w:proofErr w:type="spellStart"/>
      <w:r w:rsidRPr="00A9486C">
        <w:rPr>
          <w:sz w:val="23"/>
          <w:szCs w:val="23"/>
          <w:lang w:eastAsia="lt-LT"/>
        </w:rPr>
        <w:t>ex</w:t>
      </w:r>
      <w:proofErr w:type="spellEnd"/>
      <w:r w:rsidRPr="00A9486C">
        <w:rPr>
          <w:sz w:val="23"/>
          <w:szCs w:val="23"/>
          <w:lang w:eastAsia="lt-LT"/>
        </w:rPr>
        <w:t xml:space="preserve"> ante vertinimo gairės: </w:t>
      </w:r>
      <w:hyperlink r:id="rId14" w:history="1">
        <w:r w:rsidRPr="00A9486C">
          <w:rPr>
            <w:sz w:val="23"/>
            <w:szCs w:val="23"/>
            <w:u w:val="single"/>
            <w:lang w:eastAsia="lt-LT"/>
          </w:rPr>
          <w:t>https://enrd.ec.europa.eu/evaluation/publications/guidelines-ex-ante-evaluation-2014-2020-rdps_en</w:t>
        </w:r>
      </w:hyperlink>
      <w:r w:rsidRPr="00A9486C">
        <w:rPr>
          <w:sz w:val="23"/>
          <w:szCs w:val="23"/>
          <w:lang w:eastAsia="lt-LT"/>
        </w:rPr>
        <w:t>;</w:t>
      </w:r>
    </w:p>
    <w:p w14:paraId="1DAD11DD"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Europos Komisijos ir Europos Investicijų Banko platforma apie finansines priemones: </w:t>
      </w:r>
      <w:hyperlink r:id="rId15" w:history="1">
        <w:r w:rsidRPr="00A9486C">
          <w:rPr>
            <w:sz w:val="23"/>
            <w:szCs w:val="23"/>
            <w:u w:val="single"/>
            <w:lang w:eastAsia="lt-LT"/>
          </w:rPr>
          <w:t>https://www.fi-compass.eu/esif/eafrd</w:t>
        </w:r>
      </w:hyperlink>
      <w:r w:rsidRPr="00A9486C">
        <w:rPr>
          <w:sz w:val="23"/>
          <w:szCs w:val="23"/>
          <w:lang w:eastAsia="lt-LT"/>
        </w:rPr>
        <w:t>;</w:t>
      </w:r>
    </w:p>
    <w:p w14:paraId="139315EB"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Cs w:val="24"/>
          <w:lang w:eastAsia="lt-LT"/>
        </w:rPr>
        <w:t xml:space="preserve">Lietuvoje atliktų ES struktūrinės paramos vertinimų ataskaitos: </w:t>
      </w:r>
      <w:hyperlink r:id="rId16" w:history="1">
        <w:r w:rsidRPr="00A9486C">
          <w:rPr>
            <w:sz w:val="22"/>
            <w:szCs w:val="22"/>
            <w:u w:val="single"/>
            <w:lang w:eastAsia="lt-LT"/>
          </w:rPr>
          <w:t>https://www.esinvesticijos.lt/lt/rezultatai-ir-statistika/es_panaudojamumo_vertinimas</w:t>
        </w:r>
      </w:hyperlink>
      <w:r w:rsidRPr="00A9486C">
        <w:rPr>
          <w:sz w:val="23"/>
          <w:szCs w:val="23"/>
          <w:lang w:eastAsia="lt-LT"/>
        </w:rPr>
        <w:t>;</w:t>
      </w:r>
    </w:p>
    <w:p w14:paraId="0CBC888E" w14:textId="77777777" w:rsidR="0050229E" w:rsidRPr="00A9486C" w:rsidRDefault="0050229E" w:rsidP="0050229E">
      <w:pPr>
        <w:numPr>
          <w:ilvl w:val="1"/>
          <w:numId w:val="2"/>
        </w:numPr>
        <w:tabs>
          <w:tab w:val="left" w:pos="567"/>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Valstybės pažangos strategija „Lietuva 2030“: </w:t>
      </w:r>
      <w:hyperlink r:id="rId17" w:history="1">
        <w:r w:rsidRPr="00A9486C">
          <w:rPr>
            <w:sz w:val="23"/>
            <w:szCs w:val="23"/>
            <w:u w:val="single"/>
            <w:lang w:eastAsia="lt-LT"/>
          </w:rPr>
          <w:t>https://www.lietuva2030.lt/lt/apie-lietuva-2030</w:t>
        </w:r>
      </w:hyperlink>
      <w:r w:rsidRPr="00A9486C">
        <w:rPr>
          <w:sz w:val="23"/>
          <w:szCs w:val="23"/>
          <w:lang w:eastAsia="lt-LT"/>
        </w:rPr>
        <w:t>;</w:t>
      </w:r>
    </w:p>
    <w:p w14:paraId="37CF5B32"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2021-2030 m. Nacionalinės pažangos programos rengimas: </w:t>
      </w:r>
      <w:hyperlink r:id="rId18" w:history="1">
        <w:r w:rsidRPr="00A9486C">
          <w:rPr>
            <w:sz w:val="23"/>
            <w:szCs w:val="23"/>
            <w:u w:val="single"/>
            <w:lang w:eastAsia="lt-LT"/>
          </w:rPr>
          <w:t>http://lrv.lt/lt/aktuali-informacija/xvii-vyriausybe/strateginis-valdymas/lietuvos-pazanga-kaip-jos-siekiame</w:t>
        </w:r>
      </w:hyperlink>
      <w:r w:rsidRPr="00A9486C">
        <w:rPr>
          <w:sz w:val="23"/>
          <w:szCs w:val="23"/>
          <w:lang w:eastAsia="lt-LT"/>
        </w:rPr>
        <w:t>;</w:t>
      </w:r>
    </w:p>
    <w:p w14:paraId="28EA5C11"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Lietuvos bendrojo plano rengimas: </w:t>
      </w:r>
      <w:hyperlink r:id="rId19" w:history="1">
        <w:r w:rsidRPr="00A9486C">
          <w:rPr>
            <w:sz w:val="23"/>
            <w:szCs w:val="23"/>
            <w:u w:val="single"/>
            <w:lang w:eastAsia="lt-LT"/>
          </w:rPr>
          <w:t>http://www.bendrasisplanas.lt/</w:t>
        </w:r>
      </w:hyperlink>
      <w:r w:rsidRPr="00A9486C">
        <w:rPr>
          <w:sz w:val="23"/>
          <w:szCs w:val="23"/>
          <w:lang w:eastAsia="lt-LT"/>
        </w:rPr>
        <w:t>;</w:t>
      </w:r>
    </w:p>
    <w:p w14:paraId="41DAB5EB"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Nacionalinis energetikos ir klimato srities veiksmų planas 2021-2030 m.: </w:t>
      </w:r>
      <w:hyperlink r:id="rId20" w:history="1">
        <w:r w:rsidRPr="00A9486C">
          <w:rPr>
            <w:rStyle w:val="Hipersaitas"/>
            <w:sz w:val="23"/>
            <w:szCs w:val="23"/>
            <w:lang w:eastAsia="lt-LT"/>
          </w:rPr>
          <w:t>https://am.lrv.lt/lt/veiklos-sritys-1/klimato-kaita/nacionalinis-energetikos-ir-klimato-srities-veiksmu-planas-2021-2030-m</w:t>
        </w:r>
      </w:hyperlink>
      <w:r w:rsidRPr="00A9486C">
        <w:rPr>
          <w:sz w:val="23"/>
          <w:szCs w:val="23"/>
          <w:lang w:eastAsia="lt-LT"/>
        </w:rPr>
        <w:t>;</w:t>
      </w:r>
    </w:p>
    <w:p w14:paraId="7E81C59E"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„NATURA 2000“ prioritetinių veiksmų programa, skirta įgyvendinti Lietuvoje 2021–2027 m.;</w:t>
      </w:r>
    </w:p>
    <w:p w14:paraId="53874904"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Lietuvos kaimo ir žemės ūkio baltoji knyga iki 2030 metų: </w:t>
      </w:r>
      <w:hyperlink r:id="rId21" w:history="1">
        <w:r w:rsidRPr="00A9486C">
          <w:rPr>
            <w:sz w:val="23"/>
            <w:szCs w:val="23"/>
            <w:u w:val="single"/>
            <w:lang w:eastAsia="lt-LT"/>
          </w:rPr>
          <w:t>http://zum.lrv.lt/uploads/zum/documents/files/LT_versija/Baltoji_knyga_2019%20FINAL.pdf</w:t>
        </w:r>
      </w:hyperlink>
      <w:r w:rsidRPr="00A9486C">
        <w:rPr>
          <w:sz w:val="23"/>
          <w:szCs w:val="23"/>
          <w:lang w:eastAsia="lt-LT"/>
        </w:rPr>
        <w:t>;</w:t>
      </w:r>
    </w:p>
    <w:p w14:paraId="0808F9CB"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lastRenderedPageBreak/>
        <w:t xml:space="preserve">Žemės ūkio informacijos ir kaimo verslo centras: </w:t>
      </w:r>
      <w:hyperlink r:id="rId22" w:history="1">
        <w:r w:rsidRPr="00A9486C">
          <w:rPr>
            <w:sz w:val="23"/>
            <w:szCs w:val="23"/>
            <w:u w:val="single"/>
            <w:lang w:eastAsia="lt-LT"/>
          </w:rPr>
          <w:t>https://www.vic.lt/</w:t>
        </w:r>
      </w:hyperlink>
      <w:r w:rsidRPr="00A9486C">
        <w:rPr>
          <w:sz w:val="23"/>
          <w:szCs w:val="23"/>
          <w:u w:val="single"/>
          <w:lang w:eastAsia="lt-LT"/>
        </w:rPr>
        <w:t>;</w:t>
      </w:r>
      <w:r w:rsidRPr="00A9486C">
        <w:rPr>
          <w:sz w:val="23"/>
          <w:szCs w:val="23"/>
          <w:lang w:eastAsia="lt-LT"/>
        </w:rPr>
        <w:t xml:space="preserve"> </w:t>
      </w:r>
    </w:p>
    <w:p w14:paraId="5B63A454" w14:textId="77777777" w:rsidR="0050229E" w:rsidRPr="00A9486C" w:rsidRDefault="0050229E" w:rsidP="0050229E">
      <w:pPr>
        <w:numPr>
          <w:ilvl w:val="1"/>
          <w:numId w:val="2"/>
        </w:numPr>
        <w:tabs>
          <w:tab w:val="left" w:pos="709"/>
        </w:tabs>
        <w:autoSpaceDE w:val="0"/>
        <w:autoSpaceDN w:val="0"/>
        <w:adjustRightInd w:val="0"/>
        <w:spacing w:after="200" w:line="276" w:lineRule="auto"/>
        <w:ind w:left="0" w:firstLine="0"/>
        <w:contextualSpacing/>
        <w:jc w:val="both"/>
        <w:rPr>
          <w:sz w:val="23"/>
          <w:szCs w:val="23"/>
          <w:lang w:eastAsia="lt-LT"/>
        </w:rPr>
      </w:pPr>
      <w:r w:rsidRPr="00A9486C">
        <w:rPr>
          <w:sz w:val="23"/>
          <w:szCs w:val="23"/>
          <w:lang w:eastAsia="lt-LT"/>
        </w:rPr>
        <w:t xml:space="preserve">Nacionalinė mokėjimo agentūra prie žemės ūkio ministerijos: </w:t>
      </w:r>
      <w:hyperlink r:id="rId23" w:history="1">
        <w:r w:rsidRPr="00A9486C">
          <w:rPr>
            <w:sz w:val="23"/>
            <w:szCs w:val="23"/>
            <w:u w:val="single"/>
            <w:lang w:eastAsia="lt-LT"/>
          </w:rPr>
          <w:t>www.nma.lt</w:t>
        </w:r>
      </w:hyperlink>
      <w:r w:rsidRPr="00A9486C">
        <w:rPr>
          <w:sz w:val="23"/>
          <w:szCs w:val="23"/>
          <w:lang w:eastAsia="lt-LT"/>
        </w:rPr>
        <w:t>.</w:t>
      </w:r>
    </w:p>
    <w:p w14:paraId="18A42494" w14:textId="3B66D221" w:rsidR="0050229E" w:rsidRDefault="0050229E" w:rsidP="0050229E">
      <w:pPr>
        <w:autoSpaceDE w:val="0"/>
        <w:autoSpaceDN w:val="0"/>
        <w:adjustRightInd w:val="0"/>
        <w:jc w:val="center"/>
        <w:rPr>
          <w:b/>
          <w:bCs/>
          <w:color w:val="000000"/>
          <w:sz w:val="23"/>
          <w:szCs w:val="23"/>
          <w:lang w:eastAsia="lt-LT"/>
        </w:rPr>
      </w:pPr>
      <w:r w:rsidRPr="00A9486C">
        <w:rPr>
          <w:b/>
          <w:bCs/>
          <w:color w:val="000000"/>
          <w:sz w:val="23"/>
          <w:szCs w:val="23"/>
          <w:lang w:eastAsia="lt-LT"/>
        </w:rPr>
        <w:t>___________________________</w:t>
      </w:r>
    </w:p>
    <w:p w14:paraId="72980C3C" w14:textId="77777777" w:rsidR="001273F4" w:rsidRPr="00A9486C" w:rsidRDefault="001273F4" w:rsidP="0050229E">
      <w:pPr>
        <w:autoSpaceDE w:val="0"/>
        <w:autoSpaceDN w:val="0"/>
        <w:adjustRightInd w:val="0"/>
        <w:jc w:val="center"/>
        <w:rPr>
          <w:szCs w:val="24"/>
          <w:lang w:eastAsia="lt-LT"/>
        </w:rPr>
      </w:pPr>
    </w:p>
    <w:tbl>
      <w:tblPr>
        <w:tblW w:w="31575" w:type="dxa"/>
        <w:tblLayout w:type="fixed"/>
        <w:tblLook w:val="04A0" w:firstRow="1" w:lastRow="0" w:firstColumn="1" w:lastColumn="0" w:noHBand="0" w:noVBand="1"/>
      </w:tblPr>
      <w:tblGrid>
        <w:gridCol w:w="5524"/>
        <w:gridCol w:w="5524"/>
        <w:gridCol w:w="10263"/>
        <w:gridCol w:w="10264"/>
      </w:tblGrid>
      <w:tr w:rsidR="001273F4" w:rsidRPr="001D0B74" w14:paraId="6A975965" w14:textId="77777777" w:rsidTr="00F71820">
        <w:trPr>
          <w:trHeight w:val="539"/>
        </w:trPr>
        <w:tc>
          <w:tcPr>
            <w:tcW w:w="5523" w:type="dxa"/>
          </w:tcPr>
          <w:p w14:paraId="6F3BFC35" w14:textId="77777777" w:rsidR="001273F4" w:rsidRPr="001D0B74" w:rsidRDefault="001273F4" w:rsidP="00F71820">
            <w:pPr>
              <w:ind w:right="-17"/>
              <w:jc w:val="both"/>
              <w:rPr>
                <w:b/>
                <w:color w:val="000000"/>
                <w:szCs w:val="24"/>
                <w:lang w:eastAsia="lt-LT"/>
              </w:rPr>
            </w:pPr>
            <w:r w:rsidRPr="001D0B74">
              <w:rPr>
                <w:b/>
                <w:color w:val="000000"/>
                <w:szCs w:val="24"/>
                <w:lang w:eastAsia="lt-LT"/>
              </w:rPr>
              <w:t>UŽSAKOVAS</w:t>
            </w:r>
          </w:p>
          <w:p w14:paraId="6B47657A" w14:textId="77777777" w:rsidR="001273F4" w:rsidRPr="001D0B74" w:rsidRDefault="001273F4" w:rsidP="00F71820">
            <w:pPr>
              <w:spacing w:line="200" w:lineRule="exact"/>
              <w:ind w:right="-17"/>
              <w:jc w:val="both"/>
              <w:rPr>
                <w:b/>
                <w:color w:val="000000"/>
                <w:szCs w:val="24"/>
                <w:lang w:eastAsia="lt-LT"/>
              </w:rPr>
            </w:pPr>
          </w:p>
          <w:p w14:paraId="2D0CECA3" w14:textId="77777777" w:rsidR="001273F4" w:rsidRPr="001D0B74" w:rsidRDefault="001273F4" w:rsidP="00F71820">
            <w:pPr>
              <w:ind w:right="-17"/>
              <w:jc w:val="both"/>
              <w:rPr>
                <w:b/>
                <w:color w:val="000000"/>
                <w:szCs w:val="24"/>
                <w:lang w:eastAsia="lt-LT"/>
              </w:rPr>
            </w:pPr>
            <w:r w:rsidRPr="001D0B74">
              <w:rPr>
                <w:b/>
                <w:color w:val="000000"/>
                <w:szCs w:val="24"/>
                <w:lang w:eastAsia="lt-LT"/>
              </w:rPr>
              <w:t>Lietuvos Respublikos žemės ūkio ministerija</w:t>
            </w:r>
          </w:p>
          <w:p w14:paraId="63DEF1AB" w14:textId="77777777" w:rsidR="001273F4" w:rsidRPr="001D0B74" w:rsidRDefault="001273F4" w:rsidP="00F71820">
            <w:pPr>
              <w:ind w:right="-17"/>
              <w:jc w:val="both"/>
              <w:rPr>
                <w:color w:val="000000"/>
                <w:szCs w:val="24"/>
                <w:lang w:eastAsia="lt-LT"/>
              </w:rPr>
            </w:pPr>
          </w:p>
          <w:p w14:paraId="7AEA1FC2" w14:textId="77777777" w:rsidR="001273F4" w:rsidRDefault="001273F4" w:rsidP="00F71820">
            <w:pPr>
              <w:widowControl w:val="0"/>
              <w:rPr>
                <w:color w:val="000000"/>
                <w:szCs w:val="24"/>
                <w:lang w:eastAsia="lt-LT"/>
              </w:rPr>
            </w:pPr>
            <w:r w:rsidRPr="001D0B74">
              <w:rPr>
                <w:color w:val="000000"/>
                <w:szCs w:val="24"/>
                <w:lang w:eastAsia="lt-LT"/>
              </w:rPr>
              <w:t>Ministerijos kancler</w:t>
            </w:r>
            <w:r>
              <w:rPr>
                <w:color w:val="000000"/>
                <w:szCs w:val="24"/>
                <w:lang w:eastAsia="lt-LT"/>
              </w:rPr>
              <w:t>is</w:t>
            </w:r>
          </w:p>
          <w:p w14:paraId="02D1523C" w14:textId="77777777" w:rsidR="001273F4" w:rsidRPr="001D0B74" w:rsidRDefault="001273F4" w:rsidP="00F71820">
            <w:pPr>
              <w:widowControl w:val="0"/>
              <w:rPr>
                <w:color w:val="000000"/>
                <w:szCs w:val="24"/>
                <w:lang w:eastAsia="lt-LT"/>
              </w:rPr>
            </w:pPr>
            <w:r>
              <w:rPr>
                <w:color w:val="000000"/>
                <w:szCs w:val="24"/>
                <w:lang w:eastAsia="lt-LT"/>
              </w:rPr>
              <w:t>Valdas Aleknavičius</w:t>
            </w:r>
          </w:p>
          <w:p w14:paraId="334C8BE8" w14:textId="77777777" w:rsidR="001273F4" w:rsidRPr="001D0B74" w:rsidRDefault="001273F4" w:rsidP="00F71820">
            <w:pPr>
              <w:widowControl w:val="0"/>
              <w:rPr>
                <w:color w:val="000000"/>
                <w:szCs w:val="24"/>
                <w:lang w:eastAsia="lt-LT"/>
              </w:rPr>
            </w:pPr>
            <w:r w:rsidRPr="001D0B74">
              <w:rPr>
                <w:color w:val="000000"/>
                <w:szCs w:val="24"/>
                <w:lang w:eastAsia="lt-LT"/>
              </w:rPr>
              <w:t xml:space="preserve">                                             A. V.</w:t>
            </w:r>
          </w:p>
          <w:p w14:paraId="1AA02165" w14:textId="77777777" w:rsidR="001273F4" w:rsidRPr="001D0B74" w:rsidRDefault="001273F4" w:rsidP="00F71820">
            <w:pPr>
              <w:ind w:right="-17"/>
              <w:jc w:val="both"/>
              <w:rPr>
                <w:color w:val="000000"/>
                <w:szCs w:val="24"/>
                <w:lang w:eastAsia="lt-LT"/>
              </w:rPr>
            </w:pPr>
            <w:r w:rsidRPr="001D0B74">
              <w:rPr>
                <w:color w:val="000000"/>
                <w:szCs w:val="24"/>
                <w:lang w:eastAsia="lt-LT"/>
              </w:rPr>
              <w:t>_________________________________</w:t>
            </w:r>
          </w:p>
          <w:p w14:paraId="0C2DEF92" w14:textId="77777777" w:rsidR="001273F4" w:rsidRPr="001D0B74" w:rsidRDefault="001273F4" w:rsidP="00F71820">
            <w:pPr>
              <w:ind w:right="-17"/>
              <w:jc w:val="both"/>
              <w:rPr>
                <w:color w:val="000000"/>
                <w:szCs w:val="24"/>
                <w:lang w:eastAsia="lt-LT"/>
              </w:rPr>
            </w:pPr>
          </w:p>
        </w:tc>
        <w:tc>
          <w:tcPr>
            <w:tcW w:w="5523" w:type="dxa"/>
          </w:tcPr>
          <w:p w14:paraId="594C5947" w14:textId="77777777" w:rsidR="001273F4" w:rsidRPr="001D0B74" w:rsidRDefault="001273F4" w:rsidP="00F71820">
            <w:pPr>
              <w:ind w:right="-17"/>
              <w:jc w:val="both"/>
              <w:rPr>
                <w:b/>
                <w:color w:val="000000"/>
                <w:szCs w:val="24"/>
                <w:lang w:eastAsia="lt-LT"/>
              </w:rPr>
            </w:pPr>
            <w:r w:rsidRPr="001D0B74">
              <w:rPr>
                <w:b/>
                <w:color w:val="000000"/>
                <w:szCs w:val="24"/>
                <w:lang w:eastAsia="lt-LT"/>
              </w:rPr>
              <w:t>PASLAUGŲ TEIKĖJAS</w:t>
            </w:r>
          </w:p>
          <w:p w14:paraId="6109DD32" w14:textId="77777777" w:rsidR="001273F4" w:rsidRPr="001D0B74" w:rsidRDefault="001273F4" w:rsidP="00F71820">
            <w:pPr>
              <w:spacing w:line="180" w:lineRule="exact"/>
              <w:ind w:right="-17"/>
              <w:jc w:val="both"/>
              <w:rPr>
                <w:b/>
                <w:color w:val="000000"/>
                <w:szCs w:val="24"/>
                <w:lang w:eastAsia="lt-LT"/>
              </w:rPr>
            </w:pPr>
          </w:p>
          <w:p w14:paraId="6C7B155A" w14:textId="19C3DE89" w:rsidR="001273F4" w:rsidRDefault="007D089D" w:rsidP="00F71820">
            <w:pPr>
              <w:widowControl w:val="0"/>
              <w:suppressAutoHyphens/>
              <w:ind w:right="48"/>
              <w:rPr>
                <w:b/>
                <w:color w:val="000000"/>
                <w:szCs w:val="24"/>
                <w:lang w:eastAsia="lt-LT"/>
              </w:rPr>
            </w:pPr>
            <w:r>
              <w:rPr>
                <w:b/>
                <w:color w:val="000000"/>
                <w:szCs w:val="24"/>
                <w:lang w:eastAsia="lt-LT"/>
              </w:rPr>
              <w:t>UAB „ESTEP Vilnius“</w:t>
            </w:r>
          </w:p>
          <w:p w14:paraId="0A3CF04F" w14:textId="5EDBC590" w:rsidR="007D089D" w:rsidRDefault="007D089D" w:rsidP="00F71820">
            <w:pPr>
              <w:widowControl w:val="0"/>
              <w:suppressAutoHyphens/>
              <w:ind w:right="48"/>
              <w:rPr>
                <w:b/>
                <w:color w:val="000000"/>
                <w:szCs w:val="24"/>
                <w:lang w:eastAsia="lt-LT"/>
              </w:rPr>
            </w:pPr>
          </w:p>
          <w:p w14:paraId="30370E5D" w14:textId="64B3C821" w:rsidR="007D089D" w:rsidRPr="00276C56" w:rsidRDefault="007D089D" w:rsidP="00F71820">
            <w:pPr>
              <w:widowControl w:val="0"/>
              <w:suppressAutoHyphens/>
              <w:ind w:right="48"/>
              <w:rPr>
                <w:bCs/>
                <w:color w:val="000000"/>
                <w:szCs w:val="24"/>
                <w:lang w:eastAsia="lt-LT"/>
              </w:rPr>
            </w:pPr>
            <w:r w:rsidRPr="00276C56">
              <w:rPr>
                <w:bCs/>
                <w:color w:val="000000"/>
                <w:szCs w:val="24"/>
                <w:lang w:eastAsia="lt-LT"/>
              </w:rPr>
              <w:t>Direktorė</w:t>
            </w:r>
          </w:p>
          <w:p w14:paraId="48EF11FC" w14:textId="5EE5DA55" w:rsidR="001273F4" w:rsidRPr="00276C56" w:rsidRDefault="007D089D" w:rsidP="00F71820">
            <w:pPr>
              <w:widowControl w:val="0"/>
              <w:suppressAutoHyphens/>
              <w:ind w:right="48"/>
              <w:rPr>
                <w:bCs/>
                <w:color w:val="000000"/>
                <w:szCs w:val="24"/>
                <w:lang w:eastAsia="lt-LT"/>
              </w:rPr>
            </w:pPr>
            <w:r w:rsidRPr="00276C56">
              <w:rPr>
                <w:bCs/>
                <w:color w:val="000000"/>
                <w:szCs w:val="24"/>
                <w:lang w:eastAsia="lt-LT"/>
              </w:rPr>
              <w:t>Agnė Miseliūnienė</w:t>
            </w:r>
          </w:p>
          <w:p w14:paraId="1691C6CB" w14:textId="77777777" w:rsidR="001273F4" w:rsidRPr="001D0B74" w:rsidRDefault="001273F4" w:rsidP="00F71820">
            <w:pPr>
              <w:widowControl w:val="0"/>
              <w:suppressAutoHyphens/>
              <w:ind w:right="48"/>
              <w:jc w:val="center"/>
              <w:rPr>
                <w:color w:val="000000"/>
                <w:szCs w:val="24"/>
                <w:lang w:eastAsia="lt-LT"/>
              </w:rPr>
            </w:pPr>
            <w:r w:rsidRPr="001D0B74">
              <w:rPr>
                <w:color w:val="000000"/>
                <w:szCs w:val="24"/>
                <w:lang w:eastAsia="lt-LT"/>
              </w:rPr>
              <w:t>A. V.</w:t>
            </w:r>
          </w:p>
          <w:p w14:paraId="71840FD7" w14:textId="77777777" w:rsidR="001273F4" w:rsidRPr="001D0B74" w:rsidRDefault="001273F4" w:rsidP="00F71820">
            <w:pPr>
              <w:widowControl w:val="0"/>
              <w:suppressAutoHyphens/>
              <w:ind w:right="48"/>
              <w:rPr>
                <w:color w:val="000000"/>
                <w:szCs w:val="24"/>
                <w:lang w:eastAsia="lt-LT"/>
              </w:rPr>
            </w:pPr>
            <w:r w:rsidRPr="001D0B74">
              <w:rPr>
                <w:color w:val="000000"/>
                <w:szCs w:val="24"/>
                <w:lang w:eastAsia="lt-LT"/>
              </w:rPr>
              <w:t>____________________________</w:t>
            </w:r>
          </w:p>
          <w:p w14:paraId="7260B0DA" w14:textId="77777777" w:rsidR="001273F4" w:rsidRPr="001D0B74" w:rsidRDefault="001273F4" w:rsidP="00F71820">
            <w:pPr>
              <w:tabs>
                <w:tab w:val="left" w:pos="993"/>
              </w:tabs>
              <w:jc w:val="both"/>
              <w:rPr>
                <w:color w:val="000000"/>
                <w:szCs w:val="24"/>
                <w:lang w:eastAsia="lt-LT"/>
              </w:rPr>
            </w:pPr>
          </w:p>
        </w:tc>
        <w:tc>
          <w:tcPr>
            <w:tcW w:w="10262" w:type="dxa"/>
          </w:tcPr>
          <w:p w14:paraId="026D7DE1" w14:textId="77777777" w:rsidR="001273F4" w:rsidRPr="001D0B74" w:rsidRDefault="001273F4" w:rsidP="00F71820">
            <w:pPr>
              <w:ind w:right="-17"/>
              <w:jc w:val="both"/>
              <w:rPr>
                <w:color w:val="000000"/>
                <w:szCs w:val="24"/>
                <w:lang w:eastAsia="lt-LT"/>
              </w:rPr>
            </w:pPr>
          </w:p>
        </w:tc>
        <w:tc>
          <w:tcPr>
            <w:tcW w:w="10263" w:type="dxa"/>
          </w:tcPr>
          <w:p w14:paraId="3D82DCC2" w14:textId="77777777" w:rsidR="001273F4" w:rsidRPr="001D0B74" w:rsidRDefault="001273F4" w:rsidP="00F71820">
            <w:pPr>
              <w:ind w:right="-17"/>
              <w:jc w:val="both"/>
              <w:rPr>
                <w:b/>
                <w:color w:val="000000"/>
                <w:szCs w:val="24"/>
                <w:lang w:eastAsia="lt-LT"/>
              </w:rPr>
            </w:pPr>
            <w:r w:rsidRPr="001D0B74">
              <w:rPr>
                <w:b/>
                <w:color w:val="000000"/>
                <w:szCs w:val="24"/>
                <w:lang w:eastAsia="lt-LT"/>
              </w:rPr>
              <w:t>PASLAUGŲ TEIKĖJAS</w:t>
            </w:r>
          </w:p>
          <w:p w14:paraId="605BC4E9" w14:textId="77777777" w:rsidR="001273F4" w:rsidRPr="001D0B74" w:rsidRDefault="001273F4" w:rsidP="00F71820">
            <w:pPr>
              <w:spacing w:line="180" w:lineRule="exact"/>
              <w:ind w:right="-17"/>
              <w:jc w:val="both"/>
              <w:rPr>
                <w:b/>
                <w:color w:val="000000"/>
                <w:szCs w:val="24"/>
                <w:lang w:eastAsia="lt-LT"/>
              </w:rPr>
            </w:pPr>
          </w:p>
          <w:p w14:paraId="3B9E0599" w14:textId="77777777" w:rsidR="001273F4" w:rsidRPr="001D0B74" w:rsidRDefault="001273F4" w:rsidP="00F71820">
            <w:pPr>
              <w:widowControl w:val="0"/>
              <w:suppressAutoHyphens/>
              <w:ind w:right="48"/>
              <w:rPr>
                <w:b/>
                <w:color w:val="000000"/>
                <w:szCs w:val="24"/>
                <w:lang w:eastAsia="lt-LT"/>
              </w:rPr>
            </w:pPr>
            <w:r w:rsidRPr="001D0B74">
              <w:rPr>
                <w:b/>
                <w:color w:val="000000"/>
                <w:szCs w:val="24"/>
                <w:lang w:eastAsia="lt-LT"/>
              </w:rPr>
              <w:t>UAB „Fantazija ir Forma“</w:t>
            </w:r>
          </w:p>
          <w:p w14:paraId="38498816" w14:textId="77777777" w:rsidR="001273F4" w:rsidRPr="001D0B74" w:rsidRDefault="001273F4" w:rsidP="00F71820">
            <w:pPr>
              <w:widowControl w:val="0"/>
              <w:suppressAutoHyphens/>
              <w:ind w:right="48"/>
              <w:rPr>
                <w:color w:val="000000"/>
                <w:szCs w:val="24"/>
                <w:lang w:eastAsia="lt-LT"/>
              </w:rPr>
            </w:pPr>
          </w:p>
          <w:p w14:paraId="77F69519" w14:textId="77777777" w:rsidR="001273F4" w:rsidRPr="001D0B74" w:rsidRDefault="001273F4" w:rsidP="00F71820">
            <w:pPr>
              <w:widowControl w:val="0"/>
              <w:suppressAutoHyphens/>
              <w:ind w:right="48"/>
              <w:rPr>
                <w:color w:val="000000"/>
                <w:szCs w:val="24"/>
                <w:lang w:eastAsia="lt-LT"/>
              </w:rPr>
            </w:pPr>
            <w:r w:rsidRPr="001D0B74">
              <w:rPr>
                <w:color w:val="000000"/>
                <w:szCs w:val="24"/>
                <w:lang w:eastAsia="lt-LT"/>
              </w:rPr>
              <w:t>Projektų vadovė</w:t>
            </w:r>
          </w:p>
          <w:p w14:paraId="49C2C982" w14:textId="77777777" w:rsidR="001273F4" w:rsidRPr="001D0B74" w:rsidRDefault="001273F4" w:rsidP="00F71820">
            <w:pPr>
              <w:widowControl w:val="0"/>
              <w:suppressAutoHyphens/>
              <w:ind w:right="48"/>
              <w:rPr>
                <w:color w:val="000000"/>
                <w:szCs w:val="24"/>
                <w:lang w:eastAsia="lt-LT"/>
              </w:rPr>
            </w:pPr>
            <w:r w:rsidRPr="001D0B74">
              <w:rPr>
                <w:color w:val="000000"/>
                <w:szCs w:val="24"/>
                <w:lang w:eastAsia="lt-LT"/>
              </w:rPr>
              <w:t xml:space="preserve">                                              </w:t>
            </w:r>
          </w:p>
          <w:p w14:paraId="50B94995" w14:textId="77777777" w:rsidR="001273F4" w:rsidRPr="001D0B74" w:rsidRDefault="001273F4" w:rsidP="00F71820">
            <w:pPr>
              <w:widowControl w:val="0"/>
              <w:suppressAutoHyphens/>
              <w:ind w:right="48"/>
              <w:rPr>
                <w:color w:val="000000"/>
                <w:szCs w:val="24"/>
                <w:lang w:eastAsia="lt-LT"/>
              </w:rPr>
            </w:pPr>
            <w:r w:rsidRPr="001D0B74">
              <w:rPr>
                <w:color w:val="000000"/>
                <w:szCs w:val="24"/>
                <w:lang w:eastAsia="lt-LT"/>
              </w:rPr>
              <w:t>____________________________A. V.</w:t>
            </w:r>
          </w:p>
          <w:p w14:paraId="6F48AC4C" w14:textId="77777777" w:rsidR="001273F4" w:rsidRPr="001D0B74" w:rsidRDefault="001273F4" w:rsidP="00F71820">
            <w:pPr>
              <w:tabs>
                <w:tab w:val="left" w:pos="993"/>
              </w:tabs>
              <w:jc w:val="both"/>
              <w:rPr>
                <w:color w:val="000000"/>
                <w:szCs w:val="24"/>
                <w:lang w:eastAsia="lt-LT"/>
              </w:rPr>
            </w:pPr>
            <w:r w:rsidRPr="001D0B74">
              <w:rPr>
                <w:color w:val="000000"/>
                <w:szCs w:val="24"/>
                <w:lang w:eastAsia="lt-LT"/>
              </w:rPr>
              <w:t xml:space="preserve">Rūta </w:t>
            </w:r>
            <w:proofErr w:type="spellStart"/>
            <w:r w:rsidRPr="001D0B74">
              <w:rPr>
                <w:color w:val="000000"/>
                <w:szCs w:val="24"/>
                <w:lang w:eastAsia="lt-LT"/>
              </w:rPr>
              <w:t>Jackevičienė</w:t>
            </w:r>
            <w:proofErr w:type="spellEnd"/>
          </w:p>
          <w:p w14:paraId="5206D146" w14:textId="77777777" w:rsidR="001273F4" w:rsidRPr="001D0B74" w:rsidRDefault="001273F4" w:rsidP="00F71820">
            <w:pPr>
              <w:tabs>
                <w:tab w:val="left" w:pos="993"/>
              </w:tabs>
              <w:jc w:val="both"/>
              <w:rPr>
                <w:color w:val="000000"/>
                <w:szCs w:val="24"/>
                <w:lang w:eastAsia="lt-LT"/>
              </w:rPr>
            </w:pPr>
          </w:p>
        </w:tc>
      </w:tr>
    </w:tbl>
    <w:p w14:paraId="7518D8F9" w14:textId="77777777" w:rsidR="00DE12CC" w:rsidRDefault="00DE12CC"/>
    <w:sectPr w:rsidR="00DE12CC" w:rsidSect="0050229E">
      <w:headerReference w:type="default" r:id="rId2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1E67C" w14:textId="77777777" w:rsidR="0050229E" w:rsidRDefault="0050229E" w:rsidP="0050229E">
      <w:r>
        <w:separator/>
      </w:r>
    </w:p>
  </w:endnote>
  <w:endnote w:type="continuationSeparator" w:id="0">
    <w:p w14:paraId="4DE20B76" w14:textId="77777777" w:rsidR="0050229E" w:rsidRDefault="0050229E" w:rsidP="0050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79260" w14:textId="77777777" w:rsidR="0050229E" w:rsidRDefault="0050229E" w:rsidP="0050229E">
      <w:r>
        <w:separator/>
      </w:r>
    </w:p>
  </w:footnote>
  <w:footnote w:type="continuationSeparator" w:id="0">
    <w:p w14:paraId="1AC73B2B" w14:textId="77777777" w:rsidR="0050229E" w:rsidRDefault="0050229E" w:rsidP="0050229E">
      <w:r>
        <w:continuationSeparator/>
      </w:r>
    </w:p>
  </w:footnote>
  <w:footnote w:id="1">
    <w:p w14:paraId="6C1BF11E" w14:textId="77777777" w:rsidR="0050229E" w:rsidRDefault="0050229E" w:rsidP="0050229E">
      <w:pPr>
        <w:pStyle w:val="Puslapioinaostekstas"/>
      </w:pPr>
      <w:r>
        <w:rPr>
          <w:rStyle w:val="Puslapioinaosnuoroda"/>
        </w:rPr>
        <w:footnoteRef/>
      </w:r>
      <w:r>
        <w:t xml:space="preserve"> </w:t>
      </w:r>
      <w:hyperlink r:id="rId1" w:history="1">
        <w:r w:rsidRPr="000437C9">
          <w:rPr>
            <w:rStyle w:val="Hipersaitas"/>
          </w:rPr>
          <w:t>https://eur-lex.europa.eu/legal-content/LT/TXT/?uri=CELEX:52018PC0392</w:t>
        </w:r>
      </w:hyperlink>
      <w:r>
        <w:t xml:space="preserve"> </w:t>
      </w:r>
    </w:p>
  </w:footnote>
  <w:footnote w:id="2">
    <w:p w14:paraId="06FE0450" w14:textId="77777777" w:rsidR="0050229E" w:rsidRDefault="0050229E" w:rsidP="0050229E">
      <w:pPr>
        <w:pStyle w:val="Puslapioinaostekstas"/>
      </w:pPr>
      <w:r>
        <w:rPr>
          <w:rStyle w:val="Puslapioinaosnuoroda"/>
        </w:rPr>
        <w:footnoteRef/>
      </w:r>
      <w:r>
        <w:t xml:space="preserve"> </w:t>
      </w:r>
      <w:hyperlink r:id="rId2" w:history="1">
        <w:r w:rsidRPr="000437C9">
          <w:rPr>
            <w:rStyle w:val="Hipersaitas"/>
          </w:rPr>
          <w:t>https://eur-lex.europa.eu/legal-content/LT/TXT/?uri=CELEX:52018PC0393</w:t>
        </w:r>
      </w:hyperlink>
      <w:r>
        <w:t xml:space="preserve"> </w:t>
      </w:r>
    </w:p>
  </w:footnote>
  <w:footnote w:id="3">
    <w:p w14:paraId="59F820A4" w14:textId="77777777" w:rsidR="0050229E" w:rsidRDefault="0050229E" w:rsidP="0050229E">
      <w:pPr>
        <w:pStyle w:val="Puslapioinaostekstas"/>
      </w:pPr>
      <w:r>
        <w:rPr>
          <w:rStyle w:val="Puslapioinaosnuoroda"/>
        </w:rPr>
        <w:footnoteRef/>
      </w:r>
      <w:r>
        <w:t xml:space="preserve"> </w:t>
      </w:r>
      <w:hyperlink r:id="rId3" w:history="1">
        <w:r w:rsidRPr="000437C9">
          <w:rPr>
            <w:rStyle w:val="Hipersaitas"/>
          </w:rPr>
          <w:t>https://eur-lex.europa.eu/legal-content/EN/TXT/?uri=CELEX:52018PC0394R(01)</w:t>
        </w:r>
      </w:hyperlink>
      <w:r>
        <w:t xml:space="preserve"> </w:t>
      </w:r>
    </w:p>
  </w:footnote>
  <w:footnote w:id="4">
    <w:p w14:paraId="1F091A88" w14:textId="77777777" w:rsidR="0050229E" w:rsidRDefault="0050229E" w:rsidP="0050229E">
      <w:pPr>
        <w:pStyle w:val="Puslapioinaostekstas"/>
      </w:pPr>
      <w:r>
        <w:rPr>
          <w:rStyle w:val="Puslapioinaosnuoroda"/>
        </w:rPr>
        <w:footnoteRef/>
      </w:r>
      <w:r>
        <w:t xml:space="preserve"> </w:t>
      </w:r>
      <w:hyperlink r:id="rId4" w:history="1">
        <w:r w:rsidRPr="000E75FB">
          <w:rPr>
            <w:rStyle w:val="Hipersaitas"/>
          </w:rPr>
          <w:t>https://eur-lex.europa.eu/legal-content/LT/TXT/?uri=CELEX:52018PC0375</w:t>
        </w:r>
      </w:hyperlink>
      <w:r>
        <w:t xml:space="preserve"> </w:t>
      </w:r>
    </w:p>
  </w:footnote>
  <w:footnote w:id="5">
    <w:p w14:paraId="3B4B9CE9" w14:textId="77777777" w:rsidR="0050229E" w:rsidRDefault="0050229E" w:rsidP="0050229E">
      <w:pPr>
        <w:pStyle w:val="Puslapioinaostekstas"/>
      </w:pPr>
      <w:r>
        <w:rPr>
          <w:rStyle w:val="Puslapioinaosnuoroda"/>
        </w:rPr>
        <w:footnoteRef/>
      </w:r>
      <w:r>
        <w:t xml:space="preserve"> </w:t>
      </w:r>
      <w:hyperlink r:id="rId5" w:history="1">
        <w:r w:rsidRPr="000437C9">
          <w:rPr>
            <w:rStyle w:val="Hipersaitas"/>
          </w:rPr>
          <w:t>https://www.e-tar.lt/portal/lt/legalAct/TAR.0F35D6D2E316/asr</w:t>
        </w:r>
      </w:hyperlink>
      <w:r>
        <w:t xml:space="preserve"> </w:t>
      </w:r>
    </w:p>
  </w:footnote>
  <w:footnote w:id="6">
    <w:p w14:paraId="5ECF77C0" w14:textId="77777777" w:rsidR="0050229E" w:rsidRDefault="0050229E" w:rsidP="0050229E">
      <w:pPr>
        <w:pStyle w:val="Puslapioinaostekstas"/>
      </w:pPr>
      <w:r>
        <w:rPr>
          <w:rStyle w:val="Puslapioinaosnuoroda"/>
        </w:rPr>
        <w:footnoteRef/>
      </w:r>
      <w:r>
        <w:t xml:space="preserve"> </w:t>
      </w:r>
      <w:hyperlink r:id="rId6" w:history="1">
        <w:r w:rsidRPr="000437C9">
          <w:rPr>
            <w:rStyle w:val="Hipersaitas"/>
          </w:rPr>
          <w:t>https://www.e-tar.lt/portal/lt/legalAct/TAR.64CF02BD2377/asr</w:t>
        </w:r>
      </w:hyperlink>
      <w:r>
        <w:t xml:space="preserve"> </w:t>
      </w:r>
    </w:p>
  </w:footnote>
  <w:footnote w:id="7">
    <w:p w14:paraId="5831EA2C" w14:textId="77777777" w:rsidR="0050229E" w:rsidRDefault="0050229E" w:rsidP="0050229E">
      <w:pPr>
        <w:pStyle w:val="Puslapioinaostekstas"/>
      </w:pPr>
      <w:r>
        <w:rPr>
          <w:rStyle w:val="Puslapioinaosnuoroda"/>
        </w:rPr>
        <w:footnoteRef/>
      </w:r>
      <w:r>
        <w:t xml:space="preserve"> </w:t>
      </w:r>
      <w:hyperlink r:id="rId7" w:history="1">
        <w:r w:rsidRPr="000437C9">
          <w:rPr>
            <w:rStyle w:val="Hipersaitas"/>
          </w:rPr>
          <w:t>https://eur-lex.europa.eu/legal-content/LT/TXT/?uri=CELEX%3A52018DC0321</w:t>
        </w:r>
      </w:hyperlink>
      <w:r>
        <w:t xml:space="preserve"> </w:t>
      </w:r>
    </w:p>
  </w:footnote>
  <w:footnote w:id="8">
    <w:p w14:paraId="0DF189A2" w14:textId="77777777" w:rsidR="0050229E" w:rsidRDefault="0050229E" w:rsidP="0050229E">
      <w:pPr>
        <w:pStyle w:val="Puslapioinaostekstas"/>
      </w:pPr>
      <w:r>
        <w:rPr>
          <w:rStyle w:val="Puslapioinaosnuoroda"/>
        </w:rPr>
        <w:footnoteRef/>
      </w:r>
      <w:r>
        <w:t xml:space="preserve"> </w:t>
      </w:r>
      <w:r w:rsidRPr="008E49AC">
        <w:t>https://ec.europa.eu/info/strategy/priorities-2019-2024/european-green-deal_lt</w:t>
      </w:r>
    </w:p>
  </w:footnote>
  <w:footnote w:id="9">
    <w:p w14:paraId="0639B1B2" w14:textId="77777777" w:rsidR="0050229E" w:rsidRDefault="0050229E" w:rsidP="0050229E">
      <w:pPr>
        <w:pStyle w:val="Puslapioinaostekstas"/>
      </w:pPr>
      <w:r>
        <w:rPr>
          <w:rStyle w:val="Puslapioinaosnuoroda"/>
        </w:rPr>
        <w:footnoteRef/>
      </w:r>
      <w:r>
        <w:t xml:space="preserve"> </w:t>
      </w:r>
      <w:hyperlink r:id="rId8" w:history="1">
        <w:r w:rsidRPr="00314DF0">
          <w:rPr>
            <w:rStyle w:val="Hipersaitas"/>
          </w:rPr>
          <w:t>https://ec.europa.eu/commission/presscorner/detail/lt/ip_20_884</w:t>
        </w:r>
      </w:hyperlink>
    </w:p>
  </w:footnote>
  <w:footnote w:id="10">
    <w:p w14:paraId="6E62A2B9" w14:textId="77777777" w:rsidR="0050229E" w:rsidRDefault="0050229E" w:rsidP="0050229E">
      <w:pPr>
        <w:pStyle w:val="Puslapioinaostekstas"/>
      </w:pPr>
      <w:r>
        <w:rPr>
          <w:rStyle w:val="Puslapioinaosnuoroda"/>
        </w:rPr>
        <w:footnoteRef/>
      </w:r>
      <w:r>
        <w:t xml:space="preserve"> </w:t>
      </w:r>
      <w:r w:rsidRPr="0092555E">
        <w:t>https://www.consilium.europa.eu/lt/press/press-releases/2020/07/21/european-council-conclusions-17-21-july-2020/</w:t>
      </w:r>
    </w:p>
  </w:footnote>
  <w:footnote w:id="11">
    <w:p w14:paraId="590981BA" w14:textId="77777777" w:rsidR="0050229E" w:rsidRDefault="0050229E" w:rsidP="0050229E">
      <w:pPr>
        <w:pStyle w:val="Puslapioinaostekstas"/>
      </w:pPr>
      <w:r>
        <w:rPr>
          <w:rStyle w:val="Puslapioinaosnuoroda"/>
        </w:rPr>
        <w:footnoteRef/>
      </w:r>
      <w:r>
        <w:t xml:space="preserve"> </w:t>
      </w:r>
      <w:r w:rsidRPr="00D413F4">
        <w:t>https://www.consilium.europa.eu/lt/meetings/agrifish/2020/10/19-20/</w:t>
      </w:r>
    </w:p>
  </w:footnote>
  <w:footnote w:id="12">
    <w:p w14:paraId="5CC29369" w14:textId="77777777" w:rsidR="0050229E" w:rsidRDefault="0050229E" w:rsidP="0050229E">
      <w:pPr>
        <w:pStyle w:val="Puslapioinaostekstas"/>
      </w:pPr>
      <w:r>
        <w:rPr>
          <w:rStyle w:val="Puslapioinaosnuoroda"/>
        </w:rPr>
        <w:footnoteRef/>
      </w:r>
      <w:r>
        <w:t xml:space="preserve"> </w:t>
      </w:r>
      <w:r w:rsidRPr="00487B90">
        <w:t>https://ec.europa.eu/info/live-work-travel-eu/health/coronavirus-response/recovery-plan-europe_lt#theeubudgetpoweringrecoveryandresilience</w:t>
      </w:r>
    </w:p>
  </w:footnote>
  <w:footnote w:id="13">
    <w:p w14:paraId="2F9E10FE" w14:textId="77777777" w:rsidR="0050229E" w:rsidRDefault="0050229E" w:rsidP="0050229E">
      <w:pPr>
        <w:pStyle w:val="Puslapioinaostekstas"/>
      </w:pPr>
      <w:r>
        <w:rPr>
          <w:rStyle w:val="Puslapioinaosnuoroda"/>
        </w:rPr>
        <w:footnoteRef/>
      </w:r>
      <w:r>
        <w:t xml:space="preserve"> </w:t>
      </w:r>
      <w:hyperlink r:id="rId9" w:history="1">
        <w:r w:rsidRPr="00DF291B">
          <w:rPr>
            <w:rStyle w:val="Hipersaitas"/>
          </w:rPr>
          <w:t>https://zum.lrv.lt/lt/veiklos-sritys/bendroji-zemes-ukio-politika/bzup-po-2020-metu/bzup-po-2020-m-reglamentu-projektai</w:t>
        </w:r>
      </w:hyperlink>
    </w:p>
  </w:footnote>
  <w:footnote w:id="14">
    <w:p w14:paraId="5DFE9EB0" w14:textId="77777777" w:rsidR="0050229E" w:rsidRDefault="0050229E" w:rsidP="0050229E">
      <w:pPr>
        <w:pStyle w:val="Puslapioinaostekstas"/>
      </w:pPr>
      <w:r>
        <w:rPr>
          <w:rStyle w:val="Puslapioinaosnuoroda"/>
        </w:rPr>
        <w:footnoteRef/>
      </w:r>
      <w:r>
        <w:t xml:space="preserve"> </w:t>
      </w:r>
      <w:hyperlink r:id="rId10" w:history="1">
        <w:r w:rsidRPr="00E307AC">
          <w:rPr>
            <w:rStyle w:val="Hipersaitas"/>
          </w:rPr>
          <w:t>http://zum.lrv.lt/lt/veiklos-sritys/bendroji-zemes-ukio-politika/bzup-po-2020-metu</w:t>
        </w:r>
      </w:hyperlink>
      <w:r>
        <w:t xml:space="preserve"> </w:t>
      </w:r>
    </w:p>
  </w:footnote>
  <w:footnote w:id="15">
    <w:p w14:paraId="0C1AAB8B" w14:textId="77777777" w:rsidR="0050229E" w:rsidRDefault="0050229E" w:rsidP="0050229E">
      <w:pPr>
        <w:pStyle w:val="Puslapioinaostekstas"/>
      </w:pPr>
      <w:r>
        <w:rPr>
          <w:rStyle w:val="Puslapioinaosnuoroda"/>
        </w:rPr>
        <w:footnoteRef/>
      </w:r>
      <w:r>
        <w:t xml:space="preserve"> Čia ir kitur laikoma, kad 1 puslapį sudaro 3500 ženklų neįskaitant tarpų</w:t>
      </w:r>
    </w:p>
  </w:footnote>
  <w:footnote w:id="16">
    <w:p w14:paraId="7633B2A8" w14:textId="77777777" w:rsidR="0050229E" w:rsidRDefault="0050229E" w:rsidP="0050229E">
      <w:pPr>
        <w:pStyle w:val="Puslapioinaostekstas"/>
      </w:pPr>
      <w:r>
        <w:rPr>
          <w:rStyle w:val="Puslapioinaosnuoroda"/>
        </w:rPr>
        <w:footnoteRef/>
      </w:r>
      <w:r>
        <w:t xml:space="preserve"> Šios dalys suprantamos taip, kaip jos aprašytos metodiniame dokumente „</w:t>
      </w:r>
      <w:proofErr w:type="spellStart"/>
      <w:r w:rsidRPr="00CC1442">
        <w:rPr>
          <w:i/>
          <w:iCs/>
        </w:rPr>
        <w:t>Tool</w:t>
      </w:r>
      <w:proofErr w:type="spellEnd"/>
      <w:r w:rsidRPr="00CC1442">
        <w:rPr>
          <w:i/>
          <w:iCs/>
        </w:rPr>
        <w:t xml:space="preserve"> 1.1 - </w:t>
      </w:r>
      <w:proofErr w:type="spellStart"/>
      <w:r w:rsidRPr="00CC1442">
        <w:rPr>
          <w:i/>
          <w:iCs/>
        </w:rPr>
        <w:t>Indicative</w:t>
      </w:r>
      <w:proofErr w:type="spellEnd"/>
      <w:r w:rsidRPr="00CC1442">
        <w:rPr>
          <w:i/>
          <w:iCs/>
        </w:rPr>
        <w:t xml:space="preserve"> </w:t>
      </w:r>
      <w:proofErr w:type="spellStart"/>
      <w:r w:rsidRPr="00CC1442">
        <w:rPr>
          <w:i/>
          <w:iCs/>
        </w:rPr>
        <w:t>roadmap</w:t>
      </w:r>
      <w:proofErr w:type="spellEnd"/>
      <w:r w:rsidRPr="00CC1442">
        <w:rPr>
          <w:i/>
          <w:iCs/>
        </w:rPr>
        <w:t xml:space="preserve"> </w:t>
      </w:r>
      <w:proofErr w:type="spellStart"/>
      <w:r w:rsidRPr="00CC1442">
        <w:rPr>
          <w:i/>
          <w:iCs/>
        </w:rPr>
        <w:t>for</w:t>
      </w:r>
      <w:proofErr w:type="spellEnd"/>
      <w:r w:rsidRPr="00CC1442">
        <w:rPr>
          <w:i/>
          <w:iCs/>
        </w:rPr>
        <w:t xml:space="preserve"> </w:t>
      </w:r>
      <w:proofErr w:type="spellStart"/>
      <w:r w:rsidRPr="00CC1442">
        <w:rPr>
          <w:i/>
          <w:iCs/>
        </w:rPr>
        <w:t>the</w:t>
      </w:r>
      <w:proofErr w:type="spellEnd"/>
      <w:r w:rsidRPr="00CC1442">
        <w:rPr>
          <w:i/>
          <w:iCs/>
        </w:rPr>
        <w:t xml:space="preserve"> </w:t>
      </w:r>
      <w:proofErr w:type="spellStart"/>
      <w:r w:rsidRPr="00CC1442">
        <w:rPr>
          <w:i/>
          <w:iCs/>
        </w:rPr>
        <w:t>ex</w:t>
      </w:r>
      <w:proofErr w:type="spellEnd"/>
      <w:r w:rsidRPr="00CC1442">
        <w:rPr>
          <w:i/>
          <w:iCs/>
        </w:rPr>
        <w:t xml:space="preserve"> ante </w:t>
      </w:r>
      <w:proofErr w:type="spellStart"/>
      <w:r w:rsidRPr="00CC1442">
        <w:rPr>
          <w:i/>
          <w:iCs/>
        </w:rPr>
        <w:t>evaluation</w:t>
      </w:r>
      <w:proofErr w:type="spellEnd"/>
      <w:r w:rsidRPr="00CC1442">
        <w:rPr>
          <w:i/>
          <w:iCs/>
        </w:rPr>
        <w:t xml:space="preserve"> </w:t>
      </w:r>
      <w:proofErr w:type="spellStart"/>
      <w:r w:rsidRPr="00CC1442">
        <w:rPr>
          <w:i/>
          <w:iCs/>
        </w:rPr>
        <w:t>and</w:t>
      </w:r>
      <w:proofErr w:type="spellEnd"/>
      <w:r w:rsidRPr="00CC1442">
        <w:rPr>
          <w:i/>
          <w:iCs/>
        </w:rPr>
        <w:t xml:space="preserve"> </w:t>
      </w:r>
      <w:proofErr w:type="spellStart"/>
      <w:r w:rsidRPr="00CC1442">
        <w:rPr>
          <w:i/>
          <w:iCs/>
        </w:rPr>
        <w:t>Strategic</w:t>
      </w:r>
      <w:proofErr w:type="spellEnd"/>
      <w:r w:rsidRPr="00CC1442">
        <w:rPr>
          <w:i/>
          <w:iCs/>
        </w:rPr>
        <w:t xml:space="preserve"> </w:t>
      </w:r>
      <w:proofErr w:type="spellStart"/>
      <w:r w:rsidRPr="00CC1442">
        <w:rPr>
          <w:i/>
          <w:iCs/>
        </w:rPr>
        <w:t>Environmental</w:t>
      </w:r>
      <w:proofErr w:type="spellEnd"/>
      <w:r w:rsidRPr="00CC1442">
        <w:rPr>
          <w:i/>
          <w:iCs/>
        </w:rPr>
        <w:t xml:space="preserve"> </w:t>
      </w:r>
      <w:proofErr w:type="spellStart"/>
      <w:r w:rsidRPr="00CC1442">
        <w:rPr>
          <w:i/>
          <w:iCs/>
        </w:rPr>
        <w:t>Assessment</w:t>
      </w:r>
      <w:proofErr w:type="spellEnd"/>
      <w:r w:rsidRPr="00CC1442">
        <w:rPr>
          <w:i/>
          <w:iCs/>
        </w:rPr>
        <w:t xml:space="preserve"> </w:t>
      </w:r>
      <w:proofErr w:type="spellStart"/>
      <w:r w:rsidRPr="00CC1442">
        <w:rPr>
          <w:i/>
          <w:iCs/>
        </w:rPr>
        <w:t>of</w:t>
      </w:r>
      <w:proofErr w:type="spellEnd"/>
      <w:r w:rsidRPr="00CC1442">
        <w:rPr>
          <w:i/>
          <w:iCs/>
        </w:rPr>
        <w:t xml:space="preserve"> </w:t>
      </w:r>
      <w:proofErr w:type="spellStart"/>
      <w:r w:rsidRPr="00CC1442">
        <w:rPr>
          <w:i/>
          <w:iCs/>
        </w:rPr>
        <w:t>the</w:t>
      </w:r>
      <w:proofErr w:type="spellEnd"/>
      <w:r w:rsidRPr="00CC1442">
        <w:rPr>
          <w:i/>
          <w:iCs/>
        </w:rPr>
        <w:t xml:space="preserve"> CAP </w:t>
      </w:r>
      <w:proofErr w:type="spellStart"/>
      <w:r w:rsidRPr="00CC1442">
        <w:rPr>
          <w:i/>
          <w:iCs/>
        </w:rPr>
        <w:t>Strategic</w:t>
      </w:r>
      <w:proofErr w:type="spellEnd"/>
      <w:r w:rsidRPr="00CC1442">
        <w:rPr>
          <w:i/>
          <w:iCs/>
        </w:rPr>
        <w:t xml:space="preserve"> </w:t>
      </w:r>
      <w:proofErr w:type="spellStart"/>
      <w:r w:rsidRPr="00CC1442">
        <w:rPr>
          <w:i/>
          <w:iCs/>
        </w:rPr>
        <w:t>Plan</w:t>
      </w:r>
      <w:proofErr w:type="spellEnd"/>
      <w:r>
        <w:rPr>
          <w:i/>
          <w:iCs/>
        </w:rPr>
        <w:t xml:space="preserve">“ </w:t>
      </w:r>
      <w:hyperlink r:id="rId11" w:history="1">
        <w:r w:rsidRPr="00462289">
          <w:rPr>
            <w:rStyle w:val="Hipersaitas"/>
            <w:i/>
            <w:iCs/>
          </w:rPr>
          <w:t>https://enrd.ec.europa.eu/evaluation/preparing-ex-ante-evaluation-nutshell_en</w:t>
        </w:r>
      </w:hyperlink>
      <w:r>
        <w:rPr>
          <w:i/>
          <w:iCs/>
        </w:rPr>
        <w:t xml:space="preserve"> </w:t>
      </w:r>
    </w:p>
  </w:footnote>
  <w:footnote w:id="17">
    <w:p w14:paraId="3859DBF4" w14:textId="77777777" w:rsidR="0050229E" w:rsidRDefault="0050229E" w:rsidP="0050229E">
      <w:pPr>
        <w:pStyle w:val="Puslapioinaostekstas"/>
      </w:pPr>
      <w:r>
        <w:rPr>
          <w:rStyle w:val="Puslapioinaosnuoroda"/>
        </w:rPr>
        <w:footnoteRef/>
      </w:r>
      <w:r>
        <w:t xml:space="preserve"> </w:t>
      </w:r>
      <w:hyperlink r:id="rId12" w:history="1">
        <w:r w:rsidRPr="000437C9">
          <w:rPr>
            <w:rStyle w:val="Hipersaitas"/>
          </w:rPr>
          <w:t>https://www.e-tar.lt/portal/lt/legalAct/TAR.EDB578F71A8E</w:t>
        </w:r>
      </w:hyperlink>
      <w:r>
        <w:t xml:space="preserve"> </w:t>
      </w:r>
    </w:p>
  </w:footnote>
  <w:footnote w:id="18">
    <w:p w14:paraId="6A580278" w14:textId="77777777" w:rsidR="0050229E" w:rsidRDefault="0050229E" w:rsidP="0050229E">
      <w:pPr>
        <w:pStyle w:val="Puslapioinaostekstas"/>
      </w:pPr>
      <w:r>
        <w:rPr>
          <w:rStyle w:val="Puslapioinaosnuoroda"/>
        </w:rPr>
        <w:footnoteRef/>
      </w:r>
      <w:r>
        <w:t xml:space="preserve"> </w:t>
      </w:r>
      <w:r w:rsidRPr="00586F80">
        <w:t>https://www.fi-compass.eu/publication/manuals/manual-methodological-handbook-implementing-ex-ante-assessment-agriculture</w:t>
      </w:r>
    </w:p>
  </w:footnote>
  <w:footnote w:id="19">
    <w:p w14:paraId="4D63A5D6" w14:textId="77777777" w:rsidR="0050229E" w:rsidRDefault="0050229E" w:rsidP="0050229E">
      <w:pPr>
        <w:pStyle w:val="Puslapioinaostekstas"/>
      </w:pPr>
      <w:r>
        <w:rPr>
          <w:rStyle w:val="Puslapioinaosnuoroda"/>
        </w:rPr>
        <w:footnoteRef/>
      </w:r>
      <w:r>
        <w:t xml:space="preserve"> </w:t>
      </w:r>
      <w:hyperlink r:id="rId13" w:history="1">
        <w:r w:rsidRPr="000437C9">
          <w:rPr>
            <w:rStyle w:val="Hipersaitas"/>
          </w:rPr>
          <w:t>https://enrd.ec.europa.eu/evaluation/thematic-working-groups/thematic-working-group-7-preparing-ex-ante-evaluation-cap_en</w:t>
        </w:r>
      </w:hyperlink>
      <w:r>
        <w:t xml:space="preserve"> </w:t>
      </w:r>
    </w:p>
  </w:footnote>
  <w:footnote w:id="20">
    <w:p w14:paraId="02DDE055" w14:textId="77777777" w:rsidR="0050229E" w:rsidRDefault="0050229E" w:rsidP="0050229E">
      <w:pPr>
        <w:pStyle w:val="Puslapioinaostekstas"/>
      </w:pPr>
      <w:r>
        <w:rPr>
          <w:rStyle w:val="Puslapioinaosnuoroda"/>
        </w:rPr>
        <w:footnoteRef/>
      </w:r>
      <w:r>
        <w:t xml:space="preserve"> </w:t>
      </w:r>
      <w:hyperlink r:id="rId14" w:history="1">
        <w:r w:rsidRPr="000E75FB">
          <w:rPr>
            <w:rStyle w:val="Hipersaitas"/>
          </w:rPr>
          <w:t>https://www.fi-compass.eu/esif/eafrd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138750"/>
      <w:docPartObj>
        <w:docPartGallery w:val="Page Numbers (Top of Page)"/>
        <w:docPartUnique/>
      </w:docPartObj>
    </w:sdtPr>
    <w:sdtEndPr/>
    <w:sdtContent>
      <w:p w14:paraId="387D3D5A" w14:textId="2DC953FB" w:rsidR="0050229E" w:rsidRDefault="0050229E">
        <w:pPr>
          <w:pStyle w:val="Antrats"/>
          <w:jc w:val="center"/>
        </w:pPr>
        <w:r>
          <w:fldChar w:fldCharType="begin"/>
        </w:r>
        <w:r>
          <w:instrText>PAGE   \* MERGEFORMAT</w:instrText>
        </w:r>
        <w:r>
          <w:fldChar w:fldCharType="separate"/>
        </w:r>
        <w:r>
          <w:t>2</w:t>
        </w:r>
        <w:r>
          <w:fldChar w:fldCharType="end"/>
        </w:r>
      </w:p>
    </w:sdtContent>
  </w:sdt>
  <w:p w14:paraId="183DEE25" w14:textId="77777777" w:rsidR="0050229E" w:rsidRDefault="005022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130D3"/>
    <w:multiLevelType w:val="hybridMultilevel"/>
    <w:tmpl w:val="19D8B556"/>
    <w:lvl w:ilvl="0" w:tplc="CECE64A0">
      <w:start w:val="1"/>
      <w:numFmt w:val="decimal"/>
      <w:lvlText w:val="%1."/>
      <w:lvlJc w:val="left"/>
      <w:pPr>
        <w:ind w:left="720" w:hanging="360"/>
      </w:pPr>
      <w:rPr>
        <w:rFonts w:hint="default"/>
        <w:b/>
      </w:rPr>
    </w:lvl>
    <w:lvl w:ilvl="1" w:tplc="CAB4E1FC">
      <w:start w:val="1"/>
      <w:numFmt w:val="decimal"/>
      <w:isLgl/>
      <w:lvlText w:val="%1.%2."/>
      <w:lvlJc w:val="left"/>
      <w:pPr>
        <w:ind w:left="795" w:hanging="435"/>
      </w:pPr>
      <w:rPr>
        <w:rFonts w:hint="default"/>
        <w:b w:val="0"/>
      </w:rPr>
    </w:lvl>
    <w:lvl w:ilvl="2" w:tplc="44721BC6">
      <w:start w:val="1"/>
      <w:numFmt w:val="decimal"/>
      <w:isLgl/>
      <w:lvlText w:val="%1.%2.%3."/>
      <w:lvlJc w:val="left"/>
      <w:pPr>
        <w:ind w:left="1080" w:hanging="720"/>
      </w:pPr>
      <w:rPr>
        <w:rFonts w:hint="default"/>
        <w:b w:val="0"/>
      </w:rPr>
    </w:lvl>
    <w:lvl w:ilvl="3" w:tplc="BD7E067E">
      <w:start w:val="1"/>
      <w:numFmt w:val="decimal"/>
      <w:isLgl/>
      <w:lvlText w:val="%1.%2.%3.%4."/>
      <w:lvlJc w:val="left"/>
      <w:pPr>
        <w:ind w:left="1080" w:hanging="720"/>
      </w:pPr>
      <w:rPr>
        <w:rFonts w:hint="default"/>
        <w:b w:val="0"/>
      </w:rPr>
    </w:lvl>
    <w:lvl w:ilvl="4" w:tplc="55ECCDA2">
      <w:start w:val="1"/>
      <w:numFmt w:val="decimal"/>
      <w:isLgl/>
      <w:lvlText w:val="%1.%2.%3.%4.%5."/>
      <w:lvlJc w:val="left"/>
      <w:pPr>
        <w:ind w:left="1440" w:hanging="1080"/>
      </w:pPr>
      <w:rPr>
        <w:rFonts w:hint="default"/>
      </w:rPr>
    </w:lvl>
    <w:lvl w:ilvl="5" w:tplc="595EDEE4">
      <w:start w:val="1"/>
      <w:numFmt w:val="decimal"/>
      <w:isLgl/>
      <w:lvlText w:val="%1.%2.%3.%4.%5.%6."/>
      <w:lvlJc w:val="left"/>
      <w:pPr>
        <w:ind w:left="1440" w:hanging="1080"/>
      </w:pPr>
      <w:rPr>
        <w:rFonts w:hint="default"/>
      </w:rPr>
    </w:lvl>
    <w:lvl w:ilvl="6" w:tplc="61E4049E">
      <w:start w:val="1"/>
      <w:numFmt w:val="decimal"/>
      <w:isLgl/>
      <w:lvlText w:val="%1.%2.%3.%4.%5.%6.%7."/>
      <w:lvlJc w:val="left"/>
      <w:pPr>
        <w:ind w:left="1800" w:hanging="1440"/>
      </w:pPr>
      <w:rPr>
        <w:rFonts w:hint="default"/>
      </w:rPr>
    </w:lvl>
    <w:lvl w:ilvl="7" w:tplc="80E6634A">
      <w:start w:val="1"/>
      <w:numFmt w:val="decimal"/>
      <w:isLgl/>
      <w:lvlText w:val="%1.%2.%3.%4.%5.%6.%7.%8."/>
      <w:lvlJc w:val="left"/>
      <w:pPr>
        <w:ind w:left="1800" w:hanging="1440"/>
      </w:pPr>
      <w:rPr>
        <w:rFonts w:hint="default"/>
      </w:rPr>
    </w:lvl>
    <w:lvl w:ilvl="8" w:tplc="68F88166">
      <w:start w:val="1"/>
      <w:numFmt w:val="decimal"/>
      <w:isLgl/>
      <w:lvlText w:val="%1.%2.%3.%4.%5.%6.%7.%8.%9."/>
      <w:lvlJc w:val="left"/>
      <w:pPr>
        <w:ind w:left="2160" w:hanging="1800"/>
      </w:pPr>
      <w:rPr>
        <w:rFonts w:hint="default"/>
      </w:rPr>
    </w:lvl>
  </w:abstractNum>
  <w:abstractNum w:abstractNumId="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27A46F27"/>
    <w:multiLevelType w:val="hybridMultilevel"/>
    <w:tmpl w:val="DA7090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CE3337"/>
    <w:multiLevelType w:val="hybridMultilevel"/>
    <w:tmpl w:val="1FD0F0D2"/>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DC281B"/>
    <w:multiLevelType w:val="hybridMultilevel"/>
    <w:tmpl w:val="108AE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218B5"/>
    <w:multiLevelType w:val="hybridMultilevel"/>
    <w:tmpl w:val="00FE6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9E"/>
    <w:rsid w:val="001273F4"/>
    <w:rsid w:val="00276C56"/>
    <w:rsid w:val="003538BD"/>
    <w:rsid w:val="0050229E"/>
    <w:rsid w:val="007D089D"/>
    <w:rsid w:val="00D14E35"/>
    <w:rsid w:val="00DE1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139B"/>
  <w15:chartTrackingRefBased/>
  <w15:docId w15:val="{8A4CB677-2599-4496-8603-1E691CED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2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0229E"/>
    <w:rPr>
      <w:color w:val="0000FF"/>
      <w:u w:val="singl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rsid w:val="0050229E"/>
    <w:rPr>
      <w:sz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50229E"/>
    <w:rPr>
      <w:rFonts w:ascii="Times New Roman" w:eastAsia="Times New Roman" w:hAnsi="Times New Roman" w:cs="Times New Roman"/>
      <w:sz w:val="20"/>
      <w:szCs w:val="20"/>
    </w:rPr>
  </w:style>
  <w:style w:type="character" w:styleId="Puslapioinaosnuoroda">
    <w:name w:val="footnote reference"/>
    <w:rsid w:val="0050229E"/>
    <w:rPr>
      <w:vertAlign w:val="superscript"/>
    </w:rPr>
  </w:style>
  <w:style w:type="paragraph" w:customStyle="1" w:styleId="Point0number">
    <w:name w:val="Point 0 (number)"/>
    <w:basedOn w:val="prastasis"/>
    <w:rsid w:val="0050229E"/>
    <w:pPr>
      <w:numPr>
        <w:numId w:val="4"/>
      </w:numPr>
      <w:tabs>
        <w:tab w:val="clear" w:pos="850"/>
      </w:tabs>
      <w:spacing w:before="120" w:after="120"/>
      <w:ind w:left="436" w:hanging="360"/>
      <w:jc w:val="both"/>
    </w:pPr>
    <w:rPr>
      <w:szCs w:val="22"/>
      <w:lang w:eastAsia="lt-LT" w:bidi="lt-LT"/>
    </w:rPr>
  </w:style>
  <w:style w:type="paragraph" w:customStyle="1" w:styleId="Point1number">
    <w:name w:val="Point 1 (number)"/>
    <w:basedOn w:val="prastasis"/>
    <w:rsid w:val="0050229E"/>
    <w:pPr>
      <w:numPr>
        <w:ilvl w:val="2"/>
        <w:numId w:val="4"/>
      </w:numPr>
      <w:tabs>
        <w:tab w:val="clear" w:pos="1417"/>
      </w:tabs>
      <w:spacing w:before="120" w:after="120"/>
      <w:ind w:left="1876" w:hanging="180"/>
      <w:jc w:val="both"/>
    </w:pPr>
    <w:rPr>
      <w:szCs w:val="22"/>
      <w:lang w:eastAsia="lt-LT" w:bidi="lt-LT"/>
    </w:rPr>
  </w:style>
  <w:style w:type="paragraph" w:customStyle="1" w:styleId="Point2number">
    <w:name w:val="Point 2 (number)"/>
    <w:basedOn w:val="prastasis"/>
    <w:rsid w:val="0050229E"/>
    <w:pPr>
      <w:numPr>
        <w:ilvl w:val="4"/>
        <w:numId w:val="4"/>
      </w:numPr>
      <w:tabs>
        <w:tab w:val="clear" w:pos="1984"/>
      </w:tabs>
      <w:spacing w:before="120" w:after="120"/>
      <w:ind w:left="3316" w:hanging="360"/>
      <w:jc w:val="both"/>
    </w:pPr>
    <w:rPr>
      <w:szCs w:val="22"/>
      <w:lang w:eastAsia="lt-LT" w:bidi="lt-LT"/>
    </w:rPr>
  </w:style>
  <w:style w:type="paragraph" w:customStyle="1" w:styleId="Point3number">
    <w:name w:val="Point 3 (number)"/>
    <w:basedOn w:val="prastasis"/>
    <w:rsid w:val="0050229E"/>
    <w:pPr>
      <w:numPr>
        <w:ilvl w:val="6"/>
        <w:numId w:val="4"/>
      </w:numPr>
      <w:tabs>
        <w:tab w:val="clear" w:pos="2551"/>
      </w:tabs>
      <w:spacing w:before="120" w:after="120"/>
      <w:ind w:left="4756" w:hanging="360"/>
      <w:jc w:val="both"/>
    </w:pPr>
    <w:rPr>
      <w:szCs w:val="22"/>
      <w:lang w:eastAsia="lt-LT" w:bidi="lt-LT"/>
    </w:rPr>
  </w:style>
  <w:style w:type="paragraph" w:customStyle="1" w:styleId="Point0letter">
    <w:name w:val="Point 0 (letter)"/>
    <w:basedOn w:val="prastasis"/>
    <w:rsid w:val="0050229E"/>
    <w:pPr>
      <w:numPr>
        <w:ilvl w:val="1"/>
        <w:numId w:val="4"/>
      </w:numPr>
      <w:tabs>
        <w:tab w:val="clear" w:pos="850"/>
      </w:tabs>
      <w:spacing w:before="120" w:after="120"/>
      <w:ind w:left="1156" w:hanging="360"/>
      <w:jc w:val="both"/>
    </w:pPr>
    <w:rPr>
      <w:szCs w:val="22"/>
      <w:lang w:eastAsia="lt-LT" w:bidi="lt-LT"/>
    </w:rPr>
  </w:style>
  <w:style w:type="paragraph" w:customStyle="1" w:styleId="Point1letter">
    <w:name w:val="Point 1 (letter)"/>
    <w:basedOn w:val="prastasis"/>
    <w:rsid w:val="0050229E"/>
    <w:pPr>
      <w:numPr>
        <w:ilvl w:val="3"/>
        <w:numId w:val="4"/>
      </w:numPr>
      <w:tabs>
        <w:tab w:val="clear" w:pos="1417"/>
      </w:tabs>
      <w:spacing w:before="120" w:after="120"/>
      <w:ind w:left="2596" w:hanging="360"/>
      <w:jc w:val="both"/>
    </w:pPr>
    <w:rPr>
      <w:szCs w:val="22"/>
      <w:lang w:eastAsia="lt-LT" w:bidi="lt-LT"/>
    </w:rPr>
  </w:style>
  <w:style w:type="paragraph" w:customStyle="1" w:styleId="Point2letter">
    <w:name w:val="Point 2 (letter)"/>
    <w:basedOn w:val="prastasis"/>
    <w:rsid w:val="0050229E"/>
    <w:pPr>
      <w:numPr>
        <w:ilvl w:val="5"/>
        <w:numId w:val="4"/>
      </w:numPr>
      <w:tabs>
        <w:tab w:val="clear" w:pos="1984"/>
      </w:tabs>
      <w:spacing w:before="120" w:after="120"/>
      <w:ind w:left="4036" w:hanging="180"/>
      <w:jc w:val="both"/>
    </w:pPr>
    <w:rPr>
      <w:szCs w:val="22"/>
      <w:lang w:eastAsia="lt-LT" w:bidi="lt-LT"/>
    </w:rPr>
  </w:style>
  <w:style w:type="paragraph" w:customStyle="1" w:styleId="Point3letter">
    <w:name w:val="Point 3 (letter)"/>
    <w:basedOn w:val="prastasis"/>
    <w:rsid w:val="0050229E"/>
    <w:pPr>
      <w:numPr>
        <w:ilvl w:val="7"/>
        <w:numId w:val="4"/>
      </w:numPr>
      <w:tabs>
        <w:tab w:val="clear" w:pos="2551"/>
      </w:tabs>
      <w:spacing w:before="120" w:after="120"/>
      <w:ind w:left="5476" w:hanging="360"/>
      <w:jc w:val="both"/>
    </w:pPr>
    <w:rPr>
      <w:szCs w:val="22"/>
      <w:lang w:eastAsia="lt-LT" w:bidi="lt-LT"/>
    </w:rPr>
  </w:style>
  <w:style w:type="paragraph" w:customStyle="1" w:styleId="Point4letter">
    <w:name w:val="Point 4 (letter)"/>
    <w:basedOn w:val="prastasis"/>
    <w:rsid w:val="0050229E"/>
    <w:pPr>
      <w:numPr>
        <w:ilvl w:val="8"/>
        <w:numId w:val="4"/>
      </w:numPr>
      <w:tabs>
        <w:tab w:val="clear" w:pos="3118"/>
      </w:tabs>
      <w:spacing w:before="120" w:after="120"/>
      <w:ind w:left="6196" w:hanging="180"/>
      <w:jc w:val="both"/>
    </w:pPr>
    <w:rPr>
      <w:szCs w:val="22"/>
      <w:lang w:eastAsia="lt-LT" w:bidi="lt-LT"/>
    </w:rPr>
  </w:style>
  <w:style w:type="paragraph" w:styleId="Antrats">
    <w:name w:val="header"/>
    <w:basedOn w:val="prastasis"/>
    <w:link w:val="AntratsDiagrama"/>
    <w:uiPriority w:val="99"/>
    <w:unhideWhenUsed/>
    <w:rsid w:val="0050229E"/>
    <w:pPr>
      <w:tabs>
        <w:tab w:val="center" w:pos="4819"/>
        <w:tab w:val="right" w:pos="9638"/>
      </w:tabs>
    </w:pPr>
  </w:style>
  <w:style w:type="character" w:customStyle="1" w:styleId="AntratsDiagrama">
    <w:name w:val="Antraštės Diagrama"/>
    <w:basedOn w:val="Numatytasispastraiposriftas"/>
    <w:link w:val="Antrats"/>
    <w:uiPriority w:val="99"/>
    <w:rsid w:val="0050229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0229E"/>
    <w:pPr>
      <w:tabs>
        <w:tab w:val="center" w:pos="4819"/>
        <w:tab w:val="right" w:pos="9638"/>
      </w:tabs>
    </w:pPr>
  </w:style>
  <w:style w:type="character" w:customStyle="1" w:styleId="PoratDiagrama">
    <w:name w:val="Poraštė Diagrama"/>
    <w:basedOn w:val="Numatytasispastraiposriftas"/>
    <w:link w:val="Porat"/>
    <w:uiPriority w:val="99"/>
    <w:rsid w:val="0050229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ood-farming-fisheries/key-policies/common-agricultural-policy/future-cap_en" TargetMode="External"/><Relationship Id="rId13" Type="http://schemas.openxmlformats.org/officeDocument/2006/relationships/hyperlink" Target="https://enrd.ec.europa.eu/publications_en" TargetMode="External"/><Relationship Id="rId18" Type="http://schemas.openxmlformats.org/officeDocument/2006/relationships/hyperlink" Target="http://lrv.lt/lt/aktuali-informacija/xvii-vyriausybe/strateginis-valdymas/lietuvos-pazanga-kaip-jos-siekiam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um.lrv.lt/uploads/zum/documents/files/LT_versija/Baltoji_knyga_2019%20FINAL.pdf" TargetMode="External"/><Relationship Id="rId7" Type="http://schemas.openxmlformats.org/officeDocument/2006/relationships/hyperlink" Target="http://zum.lrv.lt/lt/veiklos-sritys/bendroji-zemes-ukio-politika/bzup-po-2020-metu" TargetMode="External"/><Relationship Id="rId12" Type="http://schemas.openxmlformats.org/officeDocument/2006/relationships/hyperlink" Target="https://enrd.ec.europa.eu/evaluation/thematic-working-groups/thematic-working-group-7-preparing-ex-ante-evaluation-cap_en" TargetMode="External"/><Relationship Id="rId17" Type="http://schemas.openxmlformats.org/officeDocument/2006/relationships/hyperlink" Target="https://www.lietuva2030.lt/lt/apie-lietuva-203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sinvesticijos.lt/lt/rezultatai-ir-statistika/es_panaudojamumo_vertinimas" TargetMode="External"/><Relationship Id="rId20" Type="http://schemas.openxmlformats.org/officeDocument/2006/relationships/hyperlink" Target="https://am.lrv.lt/lt/veiklos-sritys-1/klimato-kaita/nacionalinis-energetikos-ir-klimato-srities-veiksmu-planas-2021-203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um.lrv.lt/lt/veiklos-sritys/kaimo-pletra/lietuvos-kaimo-pletros-2014-2020-m-programa/stebesena-ir-vertinimas-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i-compass.eu/esif/eafrd" TargetMode="External"/><Relationship Id="rId23" Type="http://schemas.openxmlformats.org/officeDocument/2006/relationships/hyperlink" Target="http://www.nma.lt" TargetMode="External"/><Relationship Id="rId10" Type="http://schemas.openxmlformats.org/officeDocument/2006/relationships/hyperlink" Target="http://zum.lrv.lt/lt/veiklos-sritys/kaimo-pletra/lietuvos-kaimo-pletros-2014-2020-m-programa/programa-2" TargetMode="External"/><Relationship Id="rId19" Type="http://schemas.openxmlformats.org/officeDocument/2006/relationships/hyperlink" Target="http://www.bendrasisplanas.lt/" TargetMode="External"/><Relationship Id="rId4" Type="http://schemas.openxmlformats.org/officeDocument/2006/relationships/webSettings" Target="webSettings.xml"/><Relationship Id="rId9" Type="http://schemas.openxmlformats.org/officeDocument/2006/relationships/hyperlink" Target="https://ec.europa.eu/commission/presscorner/detail/lt/ip_20_884" TargetMode="External"/><Relationship Id="rId14" Type="http://schemas.openxmlformats.org/officeDocument/2006/relationships/hyperlink" Target="https://enrd.ec.europa.eu/evaluation/publications/guidelines-ex-ante-evaluation-2014-2020-rdps_en" TargetMode="External"/><Relationship Id="rId22" Type="http://schemas.openxmlformats.org/officeDocument/2006/relationships/hyperlink" Target="https://www.vic.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lt/ip_20_884" TargetMode="External"/><Relationship Id="rId13" Type="http://schemas.openxmlformats.org/officeDocument/2006/relationships/hyperlink" Target="https://enrd.ec.europa.eu/evaluation/thematic-working-groups/thematic-working-group-7-preparing-ex-ante-evaluation-cap_en" TargetMode="External"/><Relationship Id="rId3" Type="http://schemas.openxmlformats.org/officeDocument/2006/relationships/hyperlink" Target="https://eur-lex.europa.eu/legal-content/EN/TXT/?uri=CELEX:52018PC0394R(01)" TargetMode="External"/><Relationship Id="rId7" Type="http://schemas.openxmlformats.org/officeDocument/2006/relationships/hyperlink" Target="https://eur-lex.europa.eu/legal-content/LT/TXT/?uri=CELEX%3A52018DC0321" TargetMode="External"/><Relationship Id="rId12" Type="http://schemas.openxmlformats.org/officeDocument/2006/relationships/hyperlink" Target="https://www.e-tar.lt/portal/lt/legalAct/TAR.EDB578F71A8E" TargetMode="External"/><Relationship Id="rId2" Type="http://schemas.openxmlformats.org/officeDocument/2006/relationships/hyperlink" Target="https://eur-lex.europa.eu/legal-content/LT/TXT/?uri=CELEX:52018PC0393" TargetMode="External"/><Relationship Id="rId1" Type="http://schemas.openxmlformats.org/officeDocument/2006/relationships/hyperlink" Target="https://eur-lex.europa.eu/legal-content/LT/TXT/?uri=CELEX:52018PC0392" TargetMode="External"/><Relationship Id="rId6" Type="http://schemas.openxmlformats.org/officeDocument/2006/relationships/hyperlink" Target="https://www.e-tar.lt/portal/lt/legalAct/TAR.64CF02BD2377/asr" TargetMode="External"/><Relationship Id="rId11" Type="http://schemas.openxmlformats.org/officeDocument/2006/relationships/hyperlink" Target="https://enrd.ec.europa.eu/evaluation/preparing-ex-ante-evaluation-nutshell_en" TargetMode="External"/><Relationship Id="rId5" Type="http://schemas.openxmlformats.org/officeDocument/2006/relationships/hyperlink" Target="https://www.e-tar.lt/portal/lt/legalAct/TAR.0F35D6D2E316/asr" TargetMode="External"/><Relationship Id="rId10" Type="http://schemas.openxmlformats.org/officeDocument/2006/relationships/hyperlink" Target="http://zum.lrv.lt/lt/veiklos-sritys/bendroji-zemes-ukio-politika/bzup-po-2020-metu" TargetMode="External"/><Relationship Id="rId4" Type="http://schemas.openxmlformats.org/officeDocument/2006/relationships/hyperlink" Target="https://eur-lex.europa.eu/legal-content/LT/TXT/?uri=CELEX:52018PC0375" TargetMode="External"/><Relationship Id="rId9" Type="http://schemas.openxmlformats.org/officeDocument/2006/relationships/hyperlink" Target="https://zum.lrv.lt/lt/veiklos-sritys/bendroji-zemes-ukio-politika/bzup-po-2020-metu/bzup-po-2020-m-reglamentu-projektai" TargetMode="External"/><Relationship Id="rId14" Type="http://schemas.openxmlformats.org/officeDocument/2006/relationships/hyperlink" Target="https://www.fi-compass.eu/esif/eafr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23166</Words>
  <Characters>13205</Characters>
  <Application>Microsoft Office Word</Application>
  <DocSecurity>4</DocSecurity>
  <Lines>110</Lines>
  <Paragraphs>72</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Lozoraitis</dc:creator>
  <cp:keywords/>
  <dc:description/>
  <cp:lastModifiedBy>Darius Žuklys</cp:lastModifiedBy>
  <cp:revision>2</cp:revision>
  <dcterms:created xsi:type="dcterms:W3CDTF">2021-04-07T14:48:00Z</dcterms:created>
  <dcterms:modified xsi:type="dcterms:W3CDTF">2021-04-07T14:48:00Z</dcterms:modified>
</cp:coreProperties>
</file>