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21" w:rsidRDefault="00310458" w:rsidP="005C6921">
      <w:pPr>
        <w:jc w:val="center"/>
        <w:rPr>
          <w:b/>
          <w:i/>
          <w:sz w:val="24"/>
          <w:szCs w:val="24"/>
          <w:lang w:val="lt-LT"/>
        </w:rPr>
      </w:pPr>
      <w:r w:rsidRPr="00B10917">
        <w:rPr>
          <w:b/>
          <w:sz w:val="24"/>
          <w:szCs w:val="24"/>
          <w:lang w:val="lt-LT"/>
        </w:rPr>
        <w:t xml:space="preserve"> </w:t>
      </w:r>
      <w:r w:rsidR="00411607" w:rsidRPr="00411607">
        <w:rPr>
          <w:b/>
          <w:sz w:val="24"/>
          <w:szCs w:val="24"/>
          <w:lang w:val="lt-LT"/>
        </w:rPr>
        <w:t>PREKIŲ TECHNINĖ SPECIFIKACIJA, PRELIMINARŪS PREKIŲ KIEKIAI IR SUTARTIES ĮKAINIAI</w:t>
      </w:r>
      <w:r w:rsidR="00411607" w:rsidRPr="00411607" w:rsidDel="00411607">
        <w:rPr>
          <w:b/>
          <w:sz w:val="24"/>
          <w:szCs w:val="24"/>
          <w:lang w:val="lt-LT"/>
        </w:rPr>
        <w:t xml:space="preserve"> </w:t>
      </w:r>
    </w:p>
    <w:p w:rsidR="00231105" w:rsidRDefault="00231105" w:rsidP="0000643F">
      <w:pPr>
        <w:jc w:val="both"/>
        <w:rPr>
          <w:b/>
          <w:i/>
          <w:sz w:val="24"/>
          <w:szCs w:val="24"/>
          <w:lang w:val="lt-LT"/>
        </w:rPr>
      </w:pPr>
    </w:p>
    <w:tbl>
      <w:tblPr>
        <w:tblStyle w:val="TableGrid"/>
        <w:tblW w:w="1475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835"/>
        <w:gridCol w:w="1417"/>
        <w:gridCol w:w="992"/>
        <w:gridCol w:w="1276"/>
        <w:gridCol w:w="1985"/>
        <w:gridCol w:w="708"/>
        <w:gridCol w:w="851"/>
        <w:gridCol w:w="1276"/>
        <w:gridCol w:w="1276"/>
        <w:gridCol w:w="14"/>
      </w:tblGrid>
      <w:tr w:rsidR="00EC616D" w:rsidRPr="00176917" w:rsidTr="007608FE">
        <w:trPr>
          <w:trHeight w:val="1101"/>
          <w:jc w:val="center"/>
        </w:trPr>
        <w:tc>
          <w:tcPr>
            <w:tcW w:w="704" w:type="dxa"/>
            <w:vMerge w:val="restart"/>
            <w:vAlign w:val="center"/>
            <w:hideMark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b/>
                <w:lang w:val="lt-LT"/>
              </w:rPr>
              <w:t>Eil. Nr.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EC616D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Maisto produkto pavadinimas</w:t>
            </w:r>
            <w:r>
              <w:rPr>
                <w:b/>
                <w:sz w:val="22"/>
                <w:lang w:val="lt-LT"/>
              </w:rPr>
              <w:t xml:space="preserve"> ir </w:t>
            </w:r>
            <w:proofErr w:type="spellStart"/>
            <w:r>
              <w:rPr>
                <w:b/>
                <w:sz w:val="22"/>
                <w:lang w:val="lt-LT"/>
              </w:rPr>
              <w:t>nomenklatū-rinis</w:t>
            </w:r>
            <w:proofErr w:type="spellEnd"/>
            <w:r>
              <w:rPr>
                <w:b/>
                <w:sz w:val="22"/>
                <w:lang w:val="lt-LT"/>
              </w:rPr>
              <w:t xml:space="preserve"> numeris (kodas)</w:t>
            </w:r>
          </w:p>
          <w:p w:rsidR="00EC616D" w:rsidRPr="00176917" w:rsidRDefault="00EC616D" w:rsidP="00431513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2" w:type="dxa"/>
            <w:gridSpan w:val="2"/>
            <w:vAlign w:val="center"/>
            <w:hideMark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Reikalavimai produktams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>M</w:t>
            </w:r>
            <w:r w:rsidRPr="00176917">
              <w:rPr>
                <w:b/>
                <w:sz w:val="22"/>
                <w:lang w:val="lt-LT"/>
              </w:rPr>
              <w:t>ato vnt.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616D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Prelimina-rus</w:t>
            </w:r>
            <w:proofErr w:type="spellEnd"/>
            <w:r>
              <w:rPr>
                <w:b/>
                <w:sz w:val="22"/>
                <w:lang w:val="lt-LT"/>
              </w:rPr>
              <w:t xml:space="preserve"> kiekis</w:t>
            </w:r>
          </w:p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 xml:space="preserve">per metus </w:t>
            </w:r>
          </w:p>
        </w:tc>
        <w:tc>
          <w:tcPr>
            <w:tcW w:w="1985" w:type="dxa"/>
            <w:vMerge w:val="restart"/>
            <w:vAlign w:val="center"/>
          </w:tcPr>
          <w:p w:rsidR="00EC616D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Atitiktis nustatytiems reikalavimams</w:t>
            </w:r>
          </w:p>
          <w:p w:rsidR="00EC616D" w:rsidRPr="00176917" w:rsidRDefault="00EC616D" w:rsidP="002A6B03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>Tiekėjo</w:t>
            </w:r>
            <w:r w:rsidRPr="00DE0D08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pasiūlyme </w:t>
            </w:r>
            <w:r w:rsidRPr="00DE0D08">
              <w:rPr>
                <w:bCs/>
                <w:color w:val="000000"/>
                <w:sz w:val="22"/>
                <w:szCs w:val="22"/>
                <w:lang w:val="lt-LT" w:eastAsia="lt-LT"/>
              </w:rPr>
              <w:t>nurod</w:t>
            </w: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>yta atitiktis 3 stulpelyje nustatytiems reikalavimams</w:t>
            </w:r>
            <w:r w:rsidRPr="001C78C3">
              <w:rPr>
                <w:sz w:val="22"/>
                <w:u w:val="single"/>
                <w:lang w:val="lt-LT"/>
              </w:rPr>
              <w:t xml:space="preserve"> ir siūlom</w:t>
            </w:r>
            <w:r>
              <w:rPr>
                <w:sz w:val="22"/>
                <w:u w:val="single"/>
                <w:lang w:val="lt-LT"/>
              </w:rPr>
              <w:t>a</w:t>
            </w:r>
            <w:r w:rsidRPr="001C78C3">
              <w:rPr>
                <w:sz w:val="22"/>
                <w:u w:val="single"/>
                <w:lang w:val="lt-LT"/>
              </w:rPr>
              <w:t xml:space="preserve"> konkre</w:t>
            </w:r>
            <w:r>
              <w:rPr>
                <w:sz w:val="22"/>
                <w:u w:val="single"/>
                <w:lang w:val="lt-LT"/>
              </w:rPr>
              <w:t>ti</w:t>
            </w:r>
            <w:r w:rsidRPr="001C78C3">
              <w:rPr>
                <w:sz w:val="22"/>
                <w:u w:val="single"/>
                <w:lang w:val="lt-LT"/>
              </w:rPr>
              <w:t xml:space="preserve"> fasuot</w:t>
            </w:r>
            <w:r>
              <w:rPr>
                <w:sz w:val="22"/>
                <w:u w:val="single"/>
                <w:lang w:val="lt-LT"/>
              </w:rPr>
              <w:t>ė</w:t>
            </w:r>
            <w:r>
              <w:rPr>
                <w:sz w:val="22"/>
                <w:lang w:val="lt-LT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EC616D" w:rsidRPr="00176917" w:rsidRDefault="00EC616D" w:rsidP="00A57077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EC616D">
              <w:rPr>
                <w:b/>
                <w:sz w:val="22"/>
                <w:lang w:val="lt-LT"/>
              </w:rPr>
              <w:t>PVM tarifas %</w:t>
            </w:r>
          </w:p>
        </w:tc>
        <w:tc>
          <w:tcPr>
            <w:tcW w:w="851" w:type="dxa"/>
            <w:vMerge w:val="restart"/>
          </w:tcPr>
          <w:p w:rsidR="00EC616D" w:rsidRPr="00176917" w:rsidRDefault="00EC616D" w:rsidP="00A57077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EC616D">
              <w:rPr>
                <w:b/>
                <w:sz w:val="22"/>
                <w:lang w:val="lt-LT"/>
              </w:rPr>
              <w:t xml:space="preserve">Vieneto įkainis, </w:t>
            </w:r>
            <w:proofErr w:type="spellStart"/>
            <w:r w:rsidRPr="00EC616D">
              <w:rPr>
                <w:b/>
                <w:sz w:val="22"/>
                <w:lang w:val="lt-LT"/>
              </w:rPr>
              <w:t>Eur</w:t>
            </w:r>
            <w:proofErr w:type="spellEnd"/>
            <w:r w:rsidRPr="00EC616D">
              <w:rPr>
                <w:b/>
                <w:sz w:val="22"/>
                <w:lang w:val="lt-LT"/>
              </w:rPr>
              <w:t xml:space="preserve"> (be PVM)</w:t>
            </w:r>
          </w:p>
        </w:tc>
        <w:tc>
          <w:tcPr>
            <w:tcW w:w="2566" w:type="dxa"/>
            <w:gridSpan w:val="3"/>
          </w:tcPr>
          <w:p w:rsidR="00EC616D" w:rsidRPr="00176917" w:rsidRDefault="00EC616D" w:rsidP="00A57077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EC616D">
              <w:rPr>
                <w:b/>
                <w:sz w:val="22"/>
                <w:lang w:val="lt-LT"/>
              </w:rPr>
              <w:t>Bendra planuojama kaina</w:t>
            </w:r>
          </w:p>
        </w:tc>
      </w:tr>
      <w:tr w:rsidR="00EC616D" w:rsidRPr="00176917" w:rsidTr="007608FE">
        <w:trPr>
          <w:gridAfter w:val="1"/>
          <w:wAfter w:w="14" w:type="dxa"/>
          <w:trHeight w:val="600"/>
          <w:jc w:val="center"/>
        </w:trPr>
        <w:tc>
          <w:tcPr>
            <w:tcW w:w="704" w:type="dxa"/>
            <w:vMerge/>
            <w:vAlign w:val="center"/>
          </w:tcPr>
          <w:p w:rsidR="00EC616D" w:rsidRPr="00176917" w:rsidRDefault="00EC616D" w:rsidP="00307C34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2835" w:type="dxa"/>
            <w:vAlign w:val="center"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1417" w:type="dxa"/>
            <w:vAlign w:val="center"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vimas</w:t>
            </w:r>
          </w:p>
        </w:tc>
        <w:tc>
          <w:tcPr>
            <w:tcW w:w="992" w:type="dxa"/>
            <w:vMerge/>
            <w:vAlign w:val="center"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276" w:type="dxa"/>
            <w:vMerge/>
            <w:vAlign w:val="center"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985" w:type="dxa"/>
            <w:vMerge/>
            <w:vAlign w:val="center"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708" w:type="dxa"/>
            <w:vMerge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851" w:type="dxa"/>
            <w:vMerge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276" w:type="dxa"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EC616D">
              <w:rPr>
                <w:b/>
                <w:sz w:val="22"/>
                <w:lang w:val="lt-LT"/>
              </w:rPr>
              <w:t>be PVM (</w:t>
            </w:r>
            <w:proofErr w:type="spellStart"/>
            <w:r w:rsidRPr="00EC616D">
              <w:rPr>
                <w:b/>
                <w:sz w:val="22"/>
                <w:lang w:val="lt-LT"/>
              </w:rPr>
              <w:t>Eur</w:t>
            </w:r>
            <w:proofErr w:type="spellEnd"/>
            <w:r w:rsidRPr="00EC616D">
              <w:rPr>
                <w:b/>
                <w:sz w:val="22"/>
                <w:lang w:val="lt-LT"/>
              </w:rPr>
              <w:t>)</w:t>
            </w:r>
          </w:p>
        </w:tc>
        <w:tc>
          <w:tcPr>
            <w:tcW w:w="1276" w:type="dxa"/>
          </w:tcPr>
          <w:p w:rsidR="00EC616D" w:rsidRPr="00176917" w:rsidRDefault="00EC616D" w:rsidP="00307C3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su</w:t>
            </w:r>
            <w:r w:rsidRPr="00EC616D">
              <w:rPr>
                <w:b/>
                <w:sz w:val="22"/>
                <w:lang w:val="lt-LT"/>
              </w:rPr>
              <w:t xml:space="preserve"> PVM (</w:t>
            </w:r>
            <w:proofErr w:type="spellStart"/>
            <w:r w:rsidRPr="00EC616D">
              <w:rPr>
                <w:b/>
                <w:sz w:val="22"/>
                <w:lang w:val="lt-LT"/>
              </w:rPr>
              <w:t>Eur</w:t>
            </w:r>
            <w:proofErr w:type="spellEnd"/>
            <w:r w:rsidRPr="00EC616D">
              <w:rPr>
                <w:b/>
                <w:sz w:val="22"/>
                <w:lang w:val="lt-LT"/>
              </w:rPr>
              <w:t>)</w:t>
            </w:r>
          </w:p>
        </w:tc>
      </w:tr>
      <w:tr w:rsidR="009D5B17" w:rsidRPr="001C78C3" w:rsidTr="007608FE">
        <w:trPr>
          <w:gridAfter w:val="1"/>
          <w:wAfter w:w="14" w:type="dxa"/>
          <w:trHeight w:val="670"/>
          <w:jc w:val="center"/>
        </w:trPr>
        <w:tc>
          <w:tcPr>
            <w:tcW w:w="704" w:type="dxa"/>
            <w:vAlign w:val="center"/>
          </w:tcPr>
          <w:p w:rsidR="009D5B17" w:rsidRPr="001C78C3" w:rsidRDefault="009D5B17" w:rsidP="00307C34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9D5B17" w:rsidRPr="001C78C3" w:rsidRDefault="009D5B17" w:rsidP="00307C3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2835" w:type="dxa"/>
            <w:vAlign w:val="center"/>
          </w:tcPr>
          <w:p w:rsidR="009D5B17" w:rsidRPr="001C78C3" w:rsidRDefault="009D5B17" w:rsidP="00307C3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1417" w:type="dxa"/>
            <w:vAlign w:val="center"/>
          </w:tcPr>
          <w:p w:rsidR="009D5B17" w:rsidRPr="001C78C3" w:rsidRDefault="009D5B17" w:rsidP="00307C34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992" w:type="dxa"/>
            <w:vAlign w:val="center"/>
          </w:tcPr>
          <w:p w:rsidR="009D5B17" w:rsidRPr="001C78C3" w:rsidRDefault="009D5B17" w:rsidP="00307C3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1276" w:type="dxa"/>
            <w:vAlign w:val="center"/>
          </w:tcPr>
          <w:p w:rsidR="009D5B17" w:rsidRPr="001C78C3" w:rsidRDefault="009D5B17" w:rsidP="00307C3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1985" w:type="dxa"/>
            <w:vAlign w:val="center"/>
          </w:tcPr>
          <w:p w:rsidR="009D5B17" w:rsidRPr="001C78C3" w:rsidRDefault="009D5B17" w:rsidP="00307C3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708" w:type="dxa"/>
          </w:tcPr>
          <w:p w:rsidR="009D5B17" w:rsidRDefault="009D5B17" w:rsidP="00307C3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</w:p>
          <w:p w:rsidR="009D5B17" w:rsidRPr="001C78C3" w:rsidRDefault="009D5B17" w:rsidP="00307C3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851" w:type="dxa"/>
          </w:tcPr>
          <w:p w:rsidR="009D5B17" w:rsidRDefault="009D5B17" w:rsidP="00307C3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</w:p>
          <w:p w:rsidR="009D5B17" w:rsidRPr="001C78C3" w:rsidRDefault="009D5B17" w:rsidP="00307C3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  <w:tc>
          <w:tcPr>
            <w:tcW w:w="1276" w:type="dxa"/>
            <w:vAlign w:val="center"/>
          </w:tcPr>
          <w:p w:rsidR="009D5B17" w:rsidRDefault="009D5B17" w:rsidP="000A1C8B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10</w:t>
            </w:r>
          </w:p>
        </w:tc>
        <w:tc>
          <w:tcPr>
            <w:tcW w:w="1276" w:type="dxa"/>
            <w:vAlign w:val="center"/>
          </w:tcPr>
          <w:p w:rsidR="009D5B17" w:rsidRDefault="009D5B17" w:rsidP="000A1C8B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11</w:t>
            </w:r>
          </w:p>
        </w:tc>
      </w:tr>
      <w:tr w:rsidR="00DD3BC8" w:rsidRPr="00DF18E0" w:rsidTr="007608FE">
        <w:trPr>
          <w:trHeight w:val="869"/>
          <w:jc w:val="center"/>
        </w:trPr>
        <w:tc>
          <w:tcPr>
            <w:tcW w:w="14752" w:type="dxa"/>
            <w:gridSpan w:val="12"/>
            <w:noWrap/>
            <w:vAlign w:val="center"/>
          </w:tcPr>
          <w:p w:rsidR="00DD3BC8" w:rsidRPr="00CB5F79" w:rsidRDefault="00DD3BC8" w:rsidP="00AA795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lt-LT" w:eastAsia="lt-LT"/>
              </w:rPr>
            </w:pPr>
            <w:r w:rsidRPr="00CB5F79">
              <w:rPr>
                <w:b/>
                <w:color w:val="000000"/>
                <w:sz w:val="24"/>
                <w:szCs w:val="24"/>
                <w:lang w:val="lt-LT" w:eastAsia="lt-LT"/>
              </w:rPr>
              <w:t>Bendrieji reikalavimai.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M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aisto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tvarkymo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subjektai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privalo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laikytis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bendrųjų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konkrečių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gyvūninės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kilmės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maisto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produktų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higienos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taisyklių</w:t>
            </w:r>
            <w:proofErr w:type="spellEnd"/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pagal </w:t>
            </w:r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2004 m.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balandžio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29 d.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Europos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Parlamento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Tarybos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reglamentą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(EB) Nr. 852/2004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dėl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maisto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produktų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higienos</w:t>
            </w:r>
            <w:proofErr w:type="spellEnd"/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ir Europos parlamento ir tarybos reglamentą </w:t>
            </w:r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(EB) Nr. 853/2004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nustatantį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konkrečius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gyvūninės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kilmės</w:t>
            </w:r>
            <w:proofErr w:type="spellEnd"/>
            <w:r w:rsidRPr="00CB5F7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B5F79">
              <w:rPr>
                <w:color w:val="000000"/>
                <w:sz w:val="24"/>
                <w:szCs w:val="24"/>
                <w:lang w:eastAsia="lt-LT"/>
              </w:rPr>
              <w:t>maisto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produktų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higienos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reikalavimus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M</w:t>
            </w:r>
            <w:r w:rsidRPr="00DF18E0">
              <w:rPr>
                <w:color w:val="000000"/>
                <w:sz w:val="24"/>
                <w:szCs w:val="24"/>
                <w:lang w:val="lt-LT" w:eastAsia="lt-LT"/>
              </w:rPr>
              <w:t>aisto tvarkymo subjektai turi užtikrinti žmonių sveikatos ir vartotojų interesų apsaugą maisto atžvilgiu vadovaujantis Europos Parlamento ir Tarybos reglamentu (EB) Nr. 178/2002,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DF18E0">
              <w:rPr>
                <w:color w:val="000000"/>
                <w:sz w:val="24"/>
                <w:szCs w:val="24"/>
                <w:lang w:val="lt-LT" w:eastAsia="lt-LT"/>
              </w:rPr>
              <w:t xml:space="preserve">2002 m. sausio 28 d. 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 xml:space="preserve">Kiaušiniai turi 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>atitikti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, m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aitinimo organizavimo ikimokyklinio ugdymo, bendrojo ugdymo mokyklose ir vaikų socialinės globos įstaigose tvarkos apraše, patvirtintame Lietuvos Respublikos 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sveikatos apsaugos ministro 2018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m. 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balandžio 10 d. įsakymu Nr. V-394 redakcija, nustatytus reikalavimus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. Produktų ženklinimas turi atitikti Europos 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Parlamento ir Tarybos Reglamente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(ES) Nr. 1169/2011, 2011 m. spalio 25 d. dėl informacijos apie maistą teikimo vartotojams ir HN 119:2014 "Maisto produktų ženklinimas" reikalavimus. Prekės turi atitikti reikalavimus, pateiktus Komisijos Reglamente (EB) Nr. 1441/2007, 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ir jį iš dalies keičiančiame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2007 m. gruodžio 5 d. Reglament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e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(EB) Nr. 2073/2005 dėl maisto produktų mikrobiologinių kriterijų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,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ir Lietuvos higienos normoje HN 26:2006 „Maisto produktų mikrobiol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 xml:space="preserve">oginiai kriterijai“ reikalavimus; </w:t>
            </w:r>
            <w:r w:rsidRPr="00DF18E0">
              <w:rPr>
                <w:color w:val="000000"/>
                <w:sz w:val="24"/>
                <w:szCs w:val="24"/>
                <w:lang w:val="lt-LT" w:eastAsia="lt-LT"/>
              </w:rPr>
              <w:t xml:space="preserve">A klasės kiaušinių kokybės charakteristika 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>turi atitikti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,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DF18E0">
              <w:rPr>
                <w:color w:val="000000"/>
                <w:sz w:val="24"/>
                <w:szCs w:val="24"/>
                <w:lang w:val="lt-LT" w:eastAsia="lt-LT"/>
              </w:rPr>
              <w:t>2008 m. birželio 23 d. Komisijos reglamente (EB) Nr. 589/2008, kuriuo nustatomos išsamios Tarybos reglamento (EB) Nr. 1234/2007 įgyvendinimo taisyklės dėl prekybos kiaušiniais standartų, nuostatus (OL 2008 L 163, p. 6)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. Pakavimo m</w:t>
            </w:r>
            <w:r w:rsidRPr="00CB5F79">
              <w:rPr>
                <w:color w:val="000000"/>
                <w:sz w:val="24"/>
                <w:szCs w:val="24"/>
                <w:lang w:val="lt-LT" w:eastAsia="lt-LT"/>
              </w:rPr>
              <w:t xml:space="preserve">edžiagos turi atitikti </w:t>
            </w:r>
            <w:r w:rsidRPr="00DF18E0">
              <w:rPr>
                <w:bCs/>
                <w:color w:val="000000"/>
                <w:sz w:val="24"/>
                <w:szCs w:val="24"/>
                <w:lang w:val="lt-LT" w:eastAsia="lt-LT"/>
              </w:rPr>
              <w:t xml:space="preserve">Europos Parlamento ir Tarybos reglamentą (EB) </w:t>
            </w:r>
            <w:proofErr w:type="spellStart"/>
            <w:r w:rsidRPr="00DF18E0">
              <w:rPr>
                <w:bCs/>
                <w:color w:val="000000"/>
                <w:sz w:val="24"/>
                <w:szCs w:val="24"/>
                <w:lang w:val="lt-LT" w:eastAsia="lt-LT"/>
              </w:rPr>
              <w:t>Nr</w:t>
            </w:r>
            <w:proofErr w:type="spellEnd"/>
            <w:r w:rsidRPr="00DF18E0">
              <w:rPr>
                <w:bCs/>
                <w:color w:val="000000"/>
                <w:sz w:val="24"/>
                <w:szCs w:val="24"/>
                <w:lang w:val="lt-LT" w:eastAsia="lt-LT"/>
              </w:rPr>
              <w:t xml:space="preserve"> 1935/2004, 2004 </w:t>
            </w:r>
            <w:proofErr w:type="spellStart"/>
            <w:r w:rsidRPr="00DF18E0">
              <w:rPr>
                <w:bCs/>
                <w:color w:val="000000"/>
                <w:sz w:val="24"/>
                <w:szCs w:val="24"/>
                <w:lang w:val="lt-LT" w:eastAsia="lt-LT"/>
              </w:rPr>
              <w:t>m</w:t>
            </w:r>
            <w:proofErr w:type="spellEnd"/>
            <w:r w:rsidRPr="00DF18E0">
              <w:rPr>
                <w:bCs/>
                <w:color w:val="000000"/>
                <w:sz w:val="24"/>
                <w:szCs w:val="24"/>
                <w:lang w:val="lt-LT" w:eastAsia="lt-LT"/>
              </w:rPr>
              <w:t xml:space="preserve">. spalio 27 d. dėl žaliavų ir gaminių, skirtų liestis su maistu ir </w:t>
            </w:r>
            <w:r>
              <w:rPr>
                <w:bCs/>
                <w:iCs/>
                <w:color w:val="000000"/>
                <w:sz w:val="24"/>
                <w:szCs w:val="24"/>
                <w:lang w:val="lt-LT" w:eastAsia="lt-LT"/>
              </w:rPr>
              <w:t>Lietuvos higienos normą</w:t>
            </w:r>
            <w:r w:rsidRPr="00CB5F79">
              <w:rPr>
                <w:bCs/>
                <w:iCs/>
                <w:color w:val="000000"/>
                <w:sz w:val="24"/>
                <w:szCs w:val="24"/>
                <w:lang w:val="lt-LT" w:eastAsia="lt-LT"/>
              </w:rPr>
              <w:t xml:space="preserve"> HN 16:2011 „Medžiagų ir gaminių, skirtų liestis su maistu, specialieji sveikatos saugos reikalavimai“</w:t>
            </w:r>
            <w:r>
              <w:rPr>
                <w:bCs/>
                <w:iCs/>
                <w:color w:val="000000"/>
                <w:sz w:val="24"/>
                <w:szCs w:val="24"/>
                <w:lang w:val="lt-LT" w:eastAsia="lt-LT"/>
              </w:rPr>
              <w:t xml:space="preserve"> nuostatus</w:t>
            </w:r>
            <w:r w:rsidRPr="00CB5F79">
              <w:rPr>
                <w:bCs/>
                <w:iCs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</w:tr>
      <w:tr w:rsidR="008A4BD9" w:rsidRPr="00176917" w:rsidTr="007608FE">
        <w:trPr>
          <w:gridAfter w:val="1"/>
          <w:wAfter w:w="14" w:type="dxa"/>
          <w:trHeight w:val="300"/>
          <w:jc w:val="center"/>
        </w:trPr>
        <w:tc>
          <w:tcPr>
            <w:tcW w:w="704" w:type="dxa"/>
            <w:noWrap/>
            <w:vAlign w:val="center"/>
          </w:tcPr>
          <w:p w:rsidR="008A4BD9" w:rsidRPr="00176917" w:rsidRDefault="008A4BD9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8A4BD9" w:rsidRDefault="008A4BD9" w:rsidP="008A4BD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Kiaušiniai</w:t>
            </w:r>
          </w:p>
          <w:p w:rsidR="008A4BD9" w:rsidRPr="00176917" w:rsidRDefault="008A4BD9" w:rsidP="008A4BD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431513">
              <w:rPr>
                <w:color w:val="000000"/>
                <w:sz w:val="22"/>
                <w:szCs w:val="22"/>
                <w:lang w:val="lt-LT" w:eastAsia="lt-LT"/>
              </w:rPr>
              <w:t>6120840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2835" w:type="dxa"/>
            <w:vAlign w:val="center"/>
            <w:hideMark/>
          </w:tcPr>
          <w:p w:rsidR="008A4BD9" w:rsidRPr="00176917" w:rsidRDefault="008A4BD9" w:rsidP="008A4BD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A klasės,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ant kraiko laikomų vištų </w:t>
            </w:r>
            <w:r w:rsidRPr="00DF18E0">
              <w:rPr>
                <w:color w:val="000000"/>
                <w:sz w:val="22"/>
                <w:szCs w:val="22"/>
                <w:lang w:val="lt-LT" w:eastAsia="lt-LT"/>
              </w:rPr>
              <w:t xml:space="preserve">kiaušiniai su lukštais,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žemesnės kaip L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svorio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kategorijos, nesuskilę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="005C6921">
              <w:rPr>
                <w:color w:val="000000"/>
                <w:sz w:val="22"/>
                <w:szCs w:val="22"/>
                <w:lang w:val="lt-LT" w:eastAsia="lt-LT"/>
              </w:rPr>
              <w:t xml:space="preserve"> Pristatymo dieną iki </w:t>
            </w:r>
            <w:r w:rsidR="005C6921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 xml:space="preserve">tinkamumo vartoti termino pabaigos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turi būti likę ne mažiau kaip 14 kalendorinių dienų.</w:t>
            </w:r>
          </w:p>
        </w:tc>
        <w:tc>
          <w:tcPr>
            <w:tcW w:w="1417" w:type="dxa"/>
            <w:vAlign w:val="center"/>
            <w:hideMark/>
          </w:tcPr>
          <w:p w:rsidR="008A4BD9" w:rsidRPr="00176917" w:rsidRDefault="008A4BD9" w:rsidP="008A4BD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Fasuoti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 po 10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vnt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8A4BD9" w:rsidRPr="00176917" w:rsidRDefault="005C6921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V</w:t>
            </w:r>
            <w:r w:rsidR="008A4BD9" w:rsidRPr="00176917">
              <w:rPr>
                <w:color w:val="000000"/>
                <w:sz w:val="22"/>
                <w:szCs w:val="22"/>
                <w:lang w:val="lt-LT" w:eastAsia="lt-LT"/>
              </w:rPr>
              <w:t>nt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D9" w:rsidRPr="00DD3BC8" w:rsidRDefault="00090002" w:rsidP="008A4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985" w:type="dxa"/>
            <w:vAlign w:val="center"/>
          </w:tcPr>
          <w:p w:rsidR="008A4BD9" w:rsidRDefault="008A4BD9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8A4BD9" w:rsidRDefault="00485D40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220F80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="008A4BD9" w:rsidRPr="00220F80">
              <w:rPr>
                <w:color w:val="000000"/>
                <w:vertAlign w:val="superscript"/>
                <w:lang w:val="lt-LT" w:eastAsia="lt-LT"/>
              </w:rPr>
              <w:t>(įrašyti atitinka/neatitinka)</w:t>
            </w:r>
          </w:p>
          <w:p w:rsidR="008A4BD9" w:rsidRDefault="008A4BD9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8A4BD9" w:rsidRDefault="00485D40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66A43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 xml:space="preserve"> </w:t>
            </w:r>
            <w:r w:rsidR="008A4BD9" w:rsidRPr="00966A43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siūlomą konkrečią fasuotę)</w:t>
            </w:r>
          </w:p>
          <w:p w:rsidR="008A4BD9" w:rsidRPr="00FE5680" w:rsidRDefault="008A4BD9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08" w:type="dxa"/>
            <w:vAlign w:val="center"/>
          </w:tcPr>
          <w:p w:rsidR="008A4BD9" w:rsidRDefault="00A02B1F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851" w:type="dxa"/>
            <w:vAlign w:val="center"/>
          </w:tcPr>
          <w:p w:rsidR="008A4BD9" w:rsidRDefault="00A02B1F" w:rsidP="00245E7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</w:t>
            </w:r>
            <w:r w:rsidR="00245E76">
              <w:rPr>
                <w:color w:val="000000"/>
                <w:sz w:val="22"/>
                <w:szCs w:val="22"/>
                <w:lang w:val="lt-LT" w:eastAsia="lt-LT"/>
              </w:rPr>
              <w:t>09</w:t>
            </w:r>
          </w:p>
        </w:tc>
        <w:tc>
          <w:tcPr>
            <w:tcW w:w="1276" w:type="dxa"/>
            <w:vAlign w:val="center"/>
          </w:tcPr>
          <w:p w:rsidR="008A4BD9" w:rsidRDefault="00090002" w:rsidP="00A02B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53,28</w:t>
            </w:r>
          </w:p>
        </w:tc>
        <w:tc>
          <w:tcPr>
            <w:tcW w:w="1276" w:type="dxa"/>
            <w:vAlign w:val="center"/>
          </w:tcPr>
          <w:p w:rsidR="008A4BD9" w:rsidRDefault="00090002" w:rsidP="00A02B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64,47</w:t>
            </w:r>
          </w:p>
        </w:tc>
      </w:tr>
      <w:tr w:rsidR="008A4BD9" w:rsidRPr="00176917" w:rsidTr="007608FE">
        <w:trPr>
          <w:gridAfter w:val="1"/>
          <w:wAfter w:w="14" w:type="dxa"/>
          <w:trHeight w:val="596"/>
          <w:jc w:val="center"/>
        </w:trPr>
        <w:tc>
          <w:tcPr>
            <w:tcW w:w="704" w:type="dxa"/>
            <w:noWrap/>
            <w:vAlign w:val="center"/>
          </w:tcPr>
          <w:p w:rsidR="008A4BD9" w:rsidRDefault="008A4BD9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8A4BD9" w:rsidRDefault="008A4BD9" w:rsidP="008A4BD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084101">
              <w:rPr>
                <w:color w:val="000000"/>
                <w:sz w:val="22"/>
                <w:szCs w:val="22"/>
                <w:lang w:val="lt-LT" w:eastAsia="lt-LT"/>
              </w:rPr>
              <w:t>Kiaušiniai</w:t>
            </w:r>
          </w:p>
          <w:p w:rsidR="008A4BD9" w:rsidRPr="00176917" w:rsidRDefault="008A4BD9" w:rsidP="008A4BD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431513">
              <w:rPr>
                <w:color w:val="000000"/>
                <w:sz w:val="22"/>
                <w:szCs w:val="22"/>
                <w:lang w:val="lt-LT" w:eastAsia="lt-LT"/>
              </w:rPr>
              <w:t>6120840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2835" w:type="dxa"/>
            <w:vAlign w:val="center"/>
          </w:tcPr>
          <w:p w:rsidR="008A4BD9" w:rsidRPr="00176917" w:rsidRDefault="008A4BD9" w:rsidP="008A4BD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084101">
              <w:rPr>
                <w:color w:val="000000"/>
                <w:sz w:val="22"/>
                <w:szCs w:val="22"/>
                <w:lang w:val="lt-LT" w:eastAsia="lt-LT"/>
              </w:rPr>
              <w:t>A klasės, ant kraiko laikomų vištų kiaušiniai</w:t>
            </w:r>
            <w:r w:rsidRPr="00DF18E0">
              <w:rPr>
                <w:color w:val="000000"/>
                <w:sz w:val="22"/>
                <w:szCs w:val="22"/>
                <w:lang w:val="lt-LT" w:eastAsia="lt-LT"/>
              </w:rPr>
              <w:t xml:space="preserve"> su lukštais,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ne žemesnės kaip L</w:t>
            </w:r>
            <w:r w:rsidRPr="00084101">
              <w:rPr>
                <w:color w:val="000000"/>
                <w:sz w:val="22"/>
                <w:szCs w:val="22"/>
                <w:lang w:val="lt-LT" w:eastAsia="lt-LT"/>
              </w:rPr>
              <w:t xml:space="preserve"> svorio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kategorijos, </w:t>
            </w:r>
            <w:r w:rsidRPr="00084101">
              <w:rPr>
                <w:color w:val="000000"/>
                <w:sz w:val="22"/>
                <w:szCs w:val="22"/>
                <w:lang w:val="lt-LT" w:eastAsia="lt-LT"/>
              </w:rPr>
              <w:t>nesuskilę.</w:t>
            </w:r>
            <w:r w:rsidRPr="00FE67D9">
              <w:rPr>
                <w:color w:val="000000"/>
                <w:sz w:val="22"/>
                <w:szCs w:val="22"/>
                <w:lang w:val="lt-LT" w:eastAsia="lt-LT"/>
              </w:rPr>
              <w:t xml:space="preserve"> Pristatymo dieną iki tink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amumo  vartoti termino pabaigos</w:t>
            </w:r>
            <w:r w:rsidRPr="00FE67D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turi </w:t>
            </w:r>
            <w:r w:rsidRPr="00FE67D9">
              <w:rPr>
                <w:color w:val="000000"/>
                <w:sz w:val="22"/>
                <w:szCs w:val="22"/>
                <w:lang w:val="lt-LT" w:eastAsia="lt-LT"/>
              </w:rPr>
              <w:t>būti likę ne mažiau kaip 14 kalendorinių dienų.</w:t>
            </w:r>
          </w:p>
        </w:tc>
        <w:tc>
          <w:tcPr>
            <w:tcW w:w="1417" w:type="dxa"/>
            <w:vAlign w:val="center"/>
          </w:tcPr>
          <w:p w:rsidR="008A4BD9" w:rsidRDefault="008A4BD9" w:rsidP="008A4BD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Nefasuoti,</w:t>
            </w:r>
          </w:p>
          <w:p w:rsidR="008A4BD9" w:rsidRDefault="008A4BD9" w:rsidP="008A4BD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pagrindinėje pakuotėje iki 30 vnt., </w:t>
            </w:r>
            <w:r w:rsidRPr="00DF18E0">
              <w:rPr>
                <w:color w:val="000000"/>
                <w:sz w:val="22"/>
                <w:szCs w:val="22"/>
                <w:lang w:val="lt-LT" w:eastAsia="lt-LT"/>
              </w:rPr>
              <w:t>kiekis dėžėje iki 360 vnt.</w:t>
            </w:r>
          </w:p>
        </w:tc>
        <w:tc>
          <w:tcPr>
            <w:tcW w:w="992" w:type="dxa"/>
            <w:vAlign w:val="center"/>
          </w:tcPr>
          <w:p w:rsidR="008A4BD9" w:rsidRPr="00176917" w:rsidRDefault="005C6921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</w:t>
            </w:r>
            <w:r w:rsidR="008A4BD9">
              <w:rPr>
                <w:color w:val="000000"/>
                <w:sz w:val="22"/>
                <w:szCs w:val="22"/>
                <w:lang w:val="lt-LT" w:eastAsia="lt-LT"/>
              </w:rPr>
              <w:t>nt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D9" w:rsidRPr="00DD3BC8" w:rsidRDefault="00090002" w:rsidP="008A4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11840</w:t>
            </w:r>
          </w:p>
        </w:tc>
        <w:tc>
          <w:tcPr>
            <w:tcW w:w="1985" w:type="dxa"/>
            <w:vAlign w:val="center"/>
          </w:tcPr>
          <w:p w:rsidR="00AA2C69" w:rsidRPr="00AA2C69" w:rsidRDefault="00AA2C69" w:rsidP="007608F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AA2C6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atitinka/neatitinka)</w:t>
            </w:r>
          </w:p>
          <w:p w:rsidR="00AA2C69" w:rsidRPr="00AA2C69" w:rsidRDefault="00AA2C69" w:rsidP="00AA2C6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AA2C69" w:rsidRPr="00AA2C69" w:rsidRDefault="007608FE" w:rsidP="00AA2C6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br/>
            </w:r>
            <w:r w:rsidR="00AA2C69" w:rsidRPr="00AA2C6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siūlomą konkrečią fasuotę)</w:t>
            </w:r>
          </w:p>
          <w:p w:rsidR="008A4BD9" w:rsidRPr="00176917" w:rsidRDefault="008A4BD9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08" w:type="dxa"/>
            <w:vAlign w:val="center"/>
          </w:tcPr>
          <w:p w:rsidR="008A4BD9" w:rsidRDefault="00A02B1F" w:rsidP="008A4BD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:rsidR="008A4BD9" w:rsidRDefault="00245E76" w:rsidP="00245E7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0,09</w:t>
            </w:r>
          </w:p>
        </w:tc>
        <w:tc>
          <w:tcPr>
            <w:tcW w:w="1276" w:type="dxa"/>
            <w:vAlign w:val="center"/>
          </w:tcPr>
          <w:p w:rsidR="008A4BD9" w:rsidRDefault="00090002" w:rsidP="00A02B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1065,60</w:t>
            </w:r>
          </w:p>
        </w:tc>
        <w:tc>
          <w:tcPr>
            <w:tcW w:w="1276" w:type="dxa"/>
            <w:vAlign w:val="center"/>
          </w:tcPr>
          <w:p w:rsidR="008A4BD9" w:rsidRDefault="00090002" w:rsidP="00A02B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1289,38</w:t>
            </w:r>
          </w:p>
        </w:tc>
      </w:tr>
      <w:tr w:rsidR="00A02B1F" w:rsidRPr="00176917" w:rsidTr="007608FE">
        <w:trPr>
          <w:gridAfter w:val="1"/>
          <w:wAfter w:w="14" w:type="dxa"/>
          <w:trHeight w:val="596"/>
          <w:jc w:val="center"/>
        </w:trPr>
        <w:tc>
          <w:tcPr>
            <w:tcW w:w="12186" w:type="dxa"/>
            <w:gridSpan w:val="9"/>
            <w:noWrap/>
            <w:vAlign w:val="center"/>
          </w:tcPr>
          <w:p w:rsidR="00A02B1F" w:rsidRDefault="00A02B1F" w:rsidP="00A02B1F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1276" w:type="dxa"/>
            <w:vAlign w:val="center"/>
          </w:tcPr>
          <w:p w:rsidR="00A02B1F" w:rsidRDefault="00090002" w:rsidP="00A02B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1118,88</w:t>
            </w:r>
          </w:p>
        </w:tc>
        <w:tc>
          <w:tcPr>
            <w:tcW w:w="1276" w:type="dxa"/>
            <w:vAlign w:val="center"/>
          </w:tcPr>
          <w:p w:rsidR="00A02B1F" w:rsidRDefault="00090002" w:rsidP="00A02B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1353,85</w:t>
            </w:r>
          </w:p>
        </w:tc>
      </w:tr>
    </w:tbl>
    <w:p w:rsidR="00D07989" w:rsidRDefault="00D07989">
      <w:pPr>
        <w:rPr>
          <w:sz w:val="22"/>
          <w:szCs w:val="22"/>
          <w:lang w:val="lt-LT"/>
        </w:rPr>
      </w:pPr>
    </w:p>
    <w:p w:rsidR="00BA10C1" w:rsidRDefault="00BA10C1" w:rsidP="00BA10C1">
      <w:pPr>
        <w:rPr>
          <w:sz w:val="22"/>
          <w:szCs w:val="22"/>
          <w:lang w:val="lt-LT"/>
        </w:rPr>
      </w:pPr>
    </w:p>
    <w:p w:rsidR="00AA795A" w:rsidRDefault="00AA795A" w:rsidP="00BA10C1">
      <w:pPr>
        <w:rPr>
          <w:sz w:val="22"/>
          <w:szCs w:val="22"/>
          <w:lang w:val="lt-LT"/>
        </w:rPr>
      </w:pPr>
    </w:p>
    <w:p w:rsidR="00AA795A" w:rsidRDefault="00AA795A" w:rsidP="00BA10C1">
      <w:pPr>
        <w:rPr>
          <w:sz w:val="22"/>
          <w:szCs w:val="22"/>
          <w:lang w:val="lt-LT"/>
        </w:rPr>
        <w:sectPr w:rsidR="00AA795A" w:rsidSect="003D0179">
          <w:headerReference w:type="default" r:id="rId9"/>
          <w:headerReference w:type="first" r:id="rId10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p w:rsidR="00AA795A" w:rsidRPr="00AA795A" w:rsidRDefault="00AA795A" w:rsidP="00AA795A">
      <w:pPr>
        <w:ind w:firstLine="2694"/>
        <w:rPr>
          <w:b/>
          <w:sz w:val="24"/>
          <w:lang w:val="lt-LT"/>
        </w:rPr>
      </w:pPr>
      <w:r w:rsidRPr="00AA795A">
        <w:rPr>
          <w:b/>
          <w:sz w:val="24"/>
          <w:lang w:val="lt-LT"/>
        </w:rPr>
        <w:lastRenderedPageBreak/>
        <w:t>Įstaiga</w:t>
      </w:r>
      <w:r w:rsidRPr="00AA795A">
        <w:rPr>
          <w:b/>
          <w:sz w:val="24"/>
          <w:lang w:val="lt-LT"/>
        </w:rPr>
        <w:tab/>
      </w:r>
      <w:r w:rsidRPr="00AA795A">
        <w:rPr>
          <w:b/>
          <w:sz w:val="24"/>
          <w:lang w:val="lt-LT"/>
        </w:rPr>
        <w:tab/>
      </w:r>
      <w:r w:rsidRPr="00AA795A">
        <w:rPr>
          <w:b/>
          <w:sz w:val="24"/>
          <w:lang w:val="lt-LT"/>
        </w:rPr>
        <w:tab/>
      </w:r>
      <w:r w:rsidRPr="00AA795A">
        <w:rPr>
          <w:b/>
          <w:sz w:val="24"/>
          <w:lang w:val="lt-LT"/>
        </w:rPr>
        <w:tab/>
        <w:t>Tiekėjas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27"/>
        <w:gridCol w:w="4927"/>
      </w:tblGrid>
      <w:tr w:rsidR="00AA795A" w:rsidRPr="00AA795A" w:rsidTr="00AA795A">
        <w:trPr>
          <w:trHeight w:val="1800"/>
          <w:jc w:val="center"/>
        </w:trPr>
        <w:tc>
          <w:tcPr>
            <w:tcW w:w="4927" w:type="dxa"/>
          </w:tcPr>
          <w:p w:rsidR="00AA795A" w:rsidRPr="00AA795A" w:rsidRDefault="00AA795A" w:rsidP="00AA795A">
            <w:pPr>
              <w:rPr>
                <w:b/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>Kauno lopšelis-darželis „</w:t>
            </w:r>
            <w:r w:rsidR="00090002">
              <w:rPr>
                <w:sz w:val="24"/>
                <w:lang w:val="lt-LT"/>
              </w:rPr>
              <w:t>Vaivorykštė</w:t>
            </w:r>
            <w:r w:rsidRPr="00AA795A">
              <w:rPr>
                <w:sz w:val="24"/>
                <w:lang w:val="lt-LT"/>
              </w:rPr>
              <w:t>“</w:t>
            </w:r>
          </w:p>
          <w:p w:rsidR="00AA795A" w:rsidRP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 xml:space="preserve">Įstaigos kodas </w:t>
            </w:r>
            <w:r w:rsidR="00090002">
              <w:rPr>
                <w:sz w:val="24"/>
                <w:lang w:val="lt-LT"/>
              </w:rPr>
              <w:t>191641433</w:t>
            </w:r>
          </w:p>
          <w:p w:rsidR="00AA795A" w:rsidRPr="00AA795A" w:rsidRDefault="00AA795A" w:rsidP="00AA795A">
            <w:pPr>
              <w:rPr>
                <w:sz w:val="24"/>
                <w:lang w:val="lt-LT"/>
              </w:rPr>
            </w:pPr>
          </w:p>
          <w:p w:rsidR="00AA795A" w:rsidRPr="00AA795A" w:rsidRDefault="00090002" w:rsidP="00AA795A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Geležinio Vilko </w:t>
            </w:r>
            <w:proofErr w:type="spellStart"/>
            <w:r>
              <w:rPr>
                <w:sz w:val="24"/>
                <w:lang w:val="lt-LT"/>
              </w:rPr>
              <w:t>g</w:t>
            </w:r>
            <w:proofErr w:type="spellEnd"/>
            <w:r>
              <w:rPr>
                <w:sz w:val="24"/>
                <w:lang w:val="lt-LT"/>
              </w:rPr>
              <w:t>. 9, Kaunas LT-49274</w:t>
            </w:r>
          </w:p>
          <w:p w:rsidR="00AA795A" w:rsidRP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 xml:space="preserve">A. s. LT </w:t>
            </w:r>
            <w:r w:rsidR="00090002" w:rsidRPr="000C25AE">
              <w:rPr>
                <w:sz w:val="24"/>
                <w:szCs w:val="24"/>
              </w:rPr>
              <w:t>91401004250006006</w:t>
            </w:r>
          </w:p>
          <w:p w:rsidR="00AA795A" w:rsidRPr="00AA795A" w:rsidRDefault="00AA795A" w:rsidP="00AA795A">
            <w:pPr>
              <w:rPr>
                <w:sz w:val="24"/>
                <w:lang w:val="lt-LT"/>
              </w:rPr>
            </w:pPr>
            <w:proofErr w:type="spellStart"/>
            <w:r w:rsidRPr="00AA795A">
              <w:rPr>
                <w:sz w:val="24"/>
                <w:lang w:val="lt-LT"/>
              </w:rPr>
              <w:t>Luminor</w:t>
            </w:r>
            <w:proofErr w:type="spellEnd"/>
            <w:r w:rsidRPr="00AA795A">
              <w:rPr>
                <w:sz w:val="24"/>
                <w:lang w:val="lt-LT"/>
              </w:rPr>
              <w:t xml:space="preserve"> </w:t>
            </w:r>
            <w:proofErr w:type="spellStart"/>
            <w:r w:rsidRPr="00AA795A">
              <w:rPr>
                <w:sz w:val="24"/>
                <w:lang w:val="lt-LT"/>
              </w:rPr>
              <w:t>Bank</w:t>
            </w:r>
            <w:proofErr w:type="spellEnd"/>
            <w:r w:rsidRPr="00AA795A">
              <w:rPr>
                <w:sz w:val="24"/>
                <w:lang w:val="lt-LT"/>
              </w:rPr>
              <w:t xml:space="preserve"> AS</w:t>
            </w:r>
          </w:p>
          <w:p w:rsidR="00AA795A" w:rsidRP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>Banko kodas 40100</w:t>
            </w:r>
          </w:p>
        </w:tc>
        <w:tc>
          <w:tcPr>
            <w:tcW w:w="4927" w:type="dxa"/>
          </w:tcPr>
          <w:p w:rsidR="00AA795A" w:rsidRP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>UAB „</w:t>
            </w:r>
            <w:proofErr w:type="spellStart"/>
            <w:r w:rsidR="00090002" w:rsidRPr="0037211A">
              <w:rPr>
                <w:sz w:val="24"/>
                <w:szCs w:val="24"/>
              </w:rPr>
              <w:t>Officeday</w:t>
            </w:r>
            <w:proofErr w:type="spellEnd"/>
            <w:r w:rsidRPr="00AA795A">
              <w:rPr>
                <w:sz w:val="24"/>
                <w:lang w:val="lt-LT"/>
              </w:rPr>
              <w:t>“</w:t>
            </w:r>
          </w:p>
          <w:p w:rsidR="00AA795A" w:rsidRP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 xml:space="preserve">Įmonės kodas </w:t>
            </w:r>
            <w:r w:rsidR="00090002" w:rsidRPr="0037211A">
              <w:rPr>
                <w:sz w:val="24"/>
                <w:szCs w:val="24"/>
              </w:rPr>
              <w:t>124931353</w:t>
            </w:r>
          </w:p>
          <w:p w:rsidR="00AA795A" w:rsidRP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 xml:space="preserve">PVM mokėtojo kodas </w:t>
            </w:r>
            <w:r w:rsidR="00090002" w:rsidRPr="0037211A">
              <w:rPr>
                <w:sz w:val="24"/>
                <w:szCs w:val="24"/>
              </w:rPr>
              <w:t>LT249313515</w:t>
            </w:r>
          </w:p>
          <w:p w:rsidR="00E336EF" w:rsidRDefault="00090002" w:rsidP="00AA795A">
            <w:pPr>
              <w:rPr>
                <w:sz w:val="24"/>
                <w:lang w:val="lt-LT"/>
              </w:rPr>
            </w:pPr>
            <w:proofErr w:type="spellStart"/>
            <w:r w:rsidRPr="0037211A">
              <w:rPr>
                <w:sz w:val="24"/>
                <w:szCs w:val="24"/>
              </w:rPr>
              <w:t>Ukmergės</w:t>
            </w:r>
            <w:proofErr w:type="spellEnd"/>
            <w:r w:rsidRPr="0037211A">
              <w:rPr>
                <w:sz w:val="24"/>
                <w:szCs w:val="24"/>
              </w:rPr>
              <w:t xml:space="preserve"> g. 250, LT-06120 Vilnius</w:t>
            </w:r>
            <w:r w:rsidRPr="00AA795A">
              <w:rPr>
                <w:sz w:val="24"/>
                <w:lang w:val="lt-LT"/>
              </w:rPr>
              <w:t xml:space="preserve"> </w:t>
            </w:r>
          </w:p>
          <w:p w:rsidR="00AA795A" w:rsidRP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 xml:space="preserve">A. s. </w:t>
            </w:r>
            <w:r w:rsidR="00E336EF" w:rsidRPr="0037211A">
              <w:rPr>
                <w:sz w:val="24"/>
                <w:szCs w:val="24"/>
              </w:rPr>
              <w:t>LT267300010000058952</w:t>
            </w:r>
            <w:bookmarkStart w:id="0" w:name="_GoBack"/>
            <w:bookmarkEnd w:id="0"/>
          </w:p>
          <w:p w:rsidR="00090002" w:rsidRDefault="00090002" w:rsidP="00485D40">
            <w:pPr>
              <w:rPr>
                <w:sz w:val="24"/>
                <w:lang w:val="lt-LT"/>
              </w:rPr>
            </w:pPr>
            <w:r w:rsidRPr="0037211A">
              <w:rPr>
                <w:sz w:val="24"/>
                <w:szCs w:val="24"/>
              </w:rPr>
              <w:t>AB „</w:t>
            </w:r>
            <w:proofErr w:type="spellStart"/>
            <w:r w:rsidRPr="0037211A">
              <w:rPr>
                <w:sz w:val="24"/>
                <w:szCs w:val="24"/>
              </w:rPr>
              <w:t>Swedbank</w:t>
            </w:r>
            <w:proofErr w:type="spellEnd"/>
            <w:r w:rsidRPr="00AA795A">
              <w:rPr>
                <w:sz w:val="24"/>
                <w:lang w:val="lt-LT"/>
              </w:rPr>
              <w:t xml:space="preserve"> </w:t>
            </w:r>
          </w:p>
          <w:p w:rsidR="00AA795A" w:rsidRPr="00AA795A" w:rsidRDefault="00AA795A" w:rsidP="00090002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>Banko kodas</w:t>
            </w:r>
            <w:r w:rsidR="00090002">
              <w:rPr>
                <w:sz w:val="24"/>
                <w:lang w:val="lt-LT"/>
              </w:rPr>
              <w:t xml:space="preserve"> </w:t>
            </w:r>
            <w:r w:rsidR="00090002" w:rsidRPr="0037211A">
              <w:rPr>
                <w:sz w:val="24"/>
                <w:szCs w:val="24"/>
              </w:rPr>
              <w:t>73000</w:t>
            </w:r>
          </w:p>
        </w:tc>
      </w:tr>
      <w:tr w:rsidR="00AA795A" w:rsidRPr="00AA795A" w:rsidTr="00AA795A">
        <w:trPr>
          <w:trHeight w:val="720"/>
          <w:jc w:val="center"/>
        </w:trPr>
        <w:tc>
          <w:tcPr>
            <w:tcW w:w="4927" w:type="dxa"/>
          </w:tcPr>
          <w:p w:rsidR="00485D40" w:rsidRPr="00090002" w:rsidRDefault="00090002" w:rsidP="00485D40">
            <w:pPr>
              <w:rPr>
                <w:sz w:val="24"/>
                <w:lang w:val="lt-LT"/>
              </w:rPr>
            </w:pPr>
            <w:r w:rsidRPr="00090002">
              <w:rPr>
                <w:sz w:val="24"/>
                <w:lang w:val="lt-LT"/>
              </w:rPr>
              <w:t>Direktorė</w:t>
            </w:r>
          </w:p>
          <w:p w:rsidR="00AA795A" w:rsidRPr="00AA795A" w:rsidRDefault="00AA795A" w:rsidP="00485D40">
            <w:pPr>
              <w:rPr>
                <w:sz w:val="24"/>
                <w:lang w:val="lt-LT"/>
              </w:rPr>
            </w:pPr>
          </w:p>
        </w:tc>
        <w:tc>
          <w:tcPr>
            <w:tcW w:w="4927" w:type="dxa"/>
          </w:tcPr>
          <w:p w:rsidR="00090002" w:rsidRPr="0037211A" w:rsidRDefault="00090002" w:rsidP="00090002">
            <w:pPr>
              <w:rPr>
                <w:sz w:val="24"/>
                <w:szCs w:val="24"/>
              </w:rPr>
            </w:pPr>
            <w:proofErr w:type="spellStart"/>
            <w:r w:rsidRPr="0037211A">
              <w:rPr>
                <w:sz w:val="24"/>
                <w:szCs w:val="24"/>
              </w:rPr>
              <w:t>Įgaliotas</w:t>
            </w:r>
            <w:proofErr w:type="spellEnd"/>
            <w:r w:rsidRPr="0037211A">
              <w:rPr>
                <w:sz w:val="24"/>
                <w:szCs w:val="24"/>
              </w:rPr>
              <w:t xml:space="preserve"> </w:t>
            </w:r>
            <w:proofErr w:type="spellStart"/>
            <w:r w:rsidRPr="0037211A">
              <w:rPr>
                <w:sz w:val="24"/>
                <w:szCs w:val="24"/>
              </w:rPr>
              <w:t>asmuo</w:t>
            </w:r>
            <w:proofErr w:type="spellEnd"/>
          </w:p>
          <w:p w:rsidR="00AA795A" w:rsidRPr="00AA795A" w:rsidRDefault="00AA795A" w:rsidP="00090002">
            <w:pPr>
              <w:rPr>
                <w:sz w:val="24"/>
                <w:lang w:val="lt-LT"/>
              </w:rPr>
            </w:pPr>
          </w:p>
        </w:tc>
      </w:tr>
      <w:tr w:rsidR="00AA795A" w:rsidRPr="00AA795A" w:rsidTr="00AA795A">
        <w:trPr>
          <w:trHeight w:val="720"/>
          <w:jc w:val="center"/>
        </w:trPr>
        <w:tc>
          <w:tcPr>
            <w:tcW w:w="4927" w:type="dxa"/>
          </w:tcPr>
          <w:p w:rsidR="00AA795A" w:rsidRP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>_____________________________</w:t>
            </w:r>
          </w:p>
          <w:p w:rsid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 xml:space="preserve">                                    (parašas)</w:t>
            </w:r>
          </w:p>
          <w:p w:rsidR="00485D40" w:rsidRPr="00AA795A" w:rsidRDefault="00090002" w:rsidP="00AA795A">
            <w:pPr>
              <w:rPr>
                <w:sz w:val="24"/>
                <w:lang w:val="lt-LT"/>
              </w:rPr>
            </w:pPr>
            <w:r w:rsidRPr="00090002">
              <w:rPr>
                <w:sz w:val="24"/>
                <w:lang w:val="lt-LT"/>
              </w:rPr>
              <w:t>Silvija Sipavičienė</w:t>
            </w:r>
            <w:r w:rsidR="00485D40" w:rsidRPr="00AA795A">
              <w:rPr>
                <w:sz w:val="24"/>
                <w:lang w:val="lt-LT"/>
              </w:rPr>
              <w:t xml:space="preserve">                     A.V.</w:t>
            </w:r>
          </w:p>
          <w:p w:rsidR="00AA795A" w:rsidRPr="00AA795A" w:rsidRDefault="00AA795A" w:rsidP="00AA795A">
            <w:pPr>
              <w:rPr>
                <w:sz w:val="24"/>
                <w:lang w:val="lt-LT"/>
              </w:rPr>
            </w:pPr>
          </w:p>
        </w:tc>
        <w:tc>
          <w:tcPr>
            <w:tcW w:w="4927" w:type="dxa"/>
          </w:tcPr>
          <w:p w:rsidR="00AA795A" w:rsidRP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 xml:space="preserve">     ____________________________</w:t>
            </w:r>
          </w:p>
          <w:p w:rsidR="00AA795A" w:rsidRDefault="00AA795A" w:rsidP="00AA795A">
            <w:pPr>
              <w:rPr>
                <w:sz w:val="24"/>
                <w:lang w:val="lt-LT"/>
              </w:rPr>
            </w:pPr>
            <w:r w:rsidRPr="00AA795A">
              <w:rPr>
                <w:sz w:val="24"/>
                <w:lang w:val="lt-LT"/>
              </w:rPr>
              <w:t xml:space="preserve">                          </w:t>
            </w:r>
            <w:r>
              <w:rPr>
                <w:sz w:val="24"/>
                <w:lang w:val="lt-LT"/>
              </w:rPr>
              <w:t>(parašas)</w:t>
            </w:r>
          </w:p>
          <w:p w:rsidR="00485D40" w:rsidRPr="00AA795A" w:rsidRDefault="00090002" w:rsidP="00AA795A">
            <w:pPr>
              <w:rPr>
                <w:sz w:val="24"/>
                <w:lang w:val="lt-LT"/>
              </w:rPr>
            </w:pPr>
            <w:proofErr w:type="spellStart"/>
            <w:r>
              <w:rPr>
                <w:sz w:val="24"/>
                <w:szCs w:val="24"/>
              </w:rPr>
              <w:t>Paulius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Baronas</w:t>
            </w:r>
            <w:proofErr w:type="spellEnd"/>
            <w:r w:rsidR="00485D40" w:rsidRPr="00485D40">
              <w:rPr>
                <w:sz w:val="24"/>
                <w:lang w:val="lt-LT"/>
              </w:rPr>
              <w:t xml:space="preserve">                     </w:t>
            </w:r>
            <w:r w:rsidR="00485D40" w:rsidRPr="00AA795A">
              <w:rPr>
                <w:sz w:val="24"/>
                <w:lang w:val="lt-LT"/>
              </w:rPr>
              <w:t>A.V.</w:t>
            </w:r>
          </w:p>
        </w:tc>
      </w:tr>
    </w:tbl>
    <w:p w:rsidR="00BA10C1" w:rsidRPr="00883912" w:rsidRDefault="00BA10C1" w:rsidP="00BA10C1">
      <w:pPr>
        <w:rPr>
          <w:sz w:val="24"/>
        </w:rPr>
      </w:pPr>
    </w:p>
    <w:sectPr w:rsidR="00BA10C1" w:rsidRPr="00883912" w:rsidSect="00BA10C1">
      <w:type w:val="continuous"/>
      <w:pgSz w:w="16838" w:h="11906" w:orient="landscape"/>
      <w:pgMar w:top="1135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3A" w:rsidRDefault="00210E3A" w:rsidP="002224FF">
      <w:r>
        <w:separator/>
      </w:r>
    </w:p>
  </w:endnote>
  <w:endnote w:type="continuationSeparator" w:id="0">
    <w:p w:rsidR="00210E3A" w:rsidRDefault="00210E3A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3A" w:rsidRDefault="00210E3A" w:rsidP="002224FF">
      <w:r>
        <w:separator/>
      </w:r>
    </w:p>
  </w:footnote>
  <w:footnote w:type="continuationSeparator" w:id="0">
    <w:p w:rsidR="00210E3A" w:rsidRDefault="00210E3A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01" w:rsidRDefault="00084101" w:rsidP="002224F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7" w:rsidRPr="00A20582" w:rsidRDefault="00485D40" w:rsidP="00411607">
    <w:pPr>
      <w:pStyle w:val="Header"/>
      <w:ind w:left="7370"/>
      <w:rPr>
        <w:lang w:val="lt-LT"/>
      </w:rPr>
    </w:pPr>
    <w:r>
      <w:rPr>
        <w:lang w:val="lt-LT"/>
      </w:rPr>
      <w:t>20</w:t>
    </w:r>
    <w:r w:rsidR="00090002">
      <w:rPr>
        <w:lang w:val="lt-LT"/>
      </w:rPr>
      <w:t>20</w:t>
    </w:r>
    <w:r>
      <w:rPr>
        <w:lang w:val="lt-LT"/>
      </w:rPr>
      <w:t xml:space="preserve"> </w:t>
    </w:r>
    <w:r w:rsidR="00411607" w:rsidRPr="00A20582">
      <w:rPr>
        <w:lang w:val="lt-LT"/>
      </w:rPr>
      <w:t xml:space="preserve"> </w:t>
    </w:r>
    <w:proofErr w:type="spellStart"/>
    <w:r w:rsidR="00411607" w:rsidRPr="00A20582">
      <w:rPr>
        <w:lang w:val="lt-LT"/>
      </w:rPr>
      <w:t>m</w:t>
    </w:r>
    <w:proofErr w:type="spellEnd"/>
    <w:r w:rsidR="00411607" w:rsidRPr="00A20582">
      <w:rPr>
        <w:lang w:val="lt-LT"/>
      </w:rPr>
      <w:t>.</w:t>
    </w:r>
    <w:r w:rsidR="00090002">
      <w:rPr>
        <w:lang w:val="lt-LT"/>
      </w:rPr>
      <w:t xml:space="preserve"> gruodžio 31</w:t>
    </w:r>
    <w:r w:rsidR="00411607" w:rsidRPr="00A20582">
      <w:rPr>
        <w:lang w:val="lt-LT"/>
      </w:rPr>
      <w:t>d. P</w:t>
    </w:r>
    <w:r w:rsidR="00E617CC">
      <w:rPr>
        <w:lang w:val="lt-LT"/>
      </w:rPr>
      <w:t>agrindinės</w:t>
    </w:r>
    <w:r w:rsidR="00411607" w:rsidRPr="00A20582">
      <w:rPr>
        <w:lang w:val="lt-LT"/>
      </w:rPr>
      <w:t xml:space="preserve"> sutarties Nr. </w:t>
    </w:r>
    <w:r w:rsidR="00090002">
      <w:rPr>
        <w:lang w:val="lt-LT"/>
      </w:rPr>
      <w:t>PS-201</w:t>
    </w:r>
  </w:p>
  <w:p w:rsidR="00411607" w:rsidRPr="00A20582" w:rsidRDefault="00411607" w:rsidP="00411607">
    <w:pPr>
      <w:pStyle w:val="Header"/>
      <w:ind w:left="7370"/>
      <w:rPr>
        <w:lang w:val="lt-LT"/>
      </w:rPr>
    </w:pPr>
    <w:r w:rsidRPr="00A20582">
      <w:rPr>
        <w:lang w:val="lt-LT"/>
      </w:rPr>
      <w:t>dėl Maisto produktų (kiaušinių) Kauno miesto savivaldybės švietimo ir ugdymo įstaigoms,</w:t>
    </w:r>
  </w:p>
  <w:p w:rsidR="00411607" w:rsidRPr="00A20582" w:rsidRDefault="00411607" w:rsidP="00411607">
    <w:pPr>
      <w:pStyle w:val="Header"/>
      <w:ind w:left="7370"/>
      <w:rPr>
        <w:lang w:val="lt-LT"/>
      </w:rPr>
    </w:pPr>
    <w:r w:rsidRPr="00A20582">
      <w:rPr>
        <w:lang w:val="lt-LT"/>
      </w:rPr>
      <w:t>kuriose mokiniai mokomi pagal ikimokyklinio ir priešmokyklinio ugdymo programas, pirkimo</w:t>
    </w:r>
  </w:p>
  <w:p w:rsidR="00411607" w:rsidRDefault="00411607" w:rsidP="00411607">
    <w:pPr>
      <w:pStyle w:val="Header"/>
      <w:ind w:left="7370"/>
      <w:jc w:val="right"/>
    </w:pPr>
    <w:r w:rsidRPr="00A20582">
      <w:rPr>
        <w:lang w:val="lt-LT"/>
      </w:rPr>
      <w:t xml:space="preserve"> </w:t>
    </w:r>
    <w:r w:rsidR="00E617CC">
      <w:rPr>
        <w:lang w:val="lt-LT"/>
      </w:rPr>
      <w:t xml:space="preserve">1 </w:t>
    </w:r>
    <w:r w:rsidRPr="00A20582">
      <w:rPr>
        <w:lang w:val="lt-LT"/>
      </w:rPr>
      <w:t>priedas</w:t>
    </w:r>
  </w:p>
  <w:p w:rsidR="00084101" w:rsidRDefault="000841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594D"/>
    <w:multiLevelType w:val="hybridMultilevel"/>
    <w:tmpl w:val="A858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25"/>
    <w:rsid w:val="000000A8"/>
    <w:rsid w:val="0000643F"/>
    <w:rsid w:val="00012A74"/>
    <w:rsid w:val="00030521"/>
    <w:rsid w:val="00036CE5"/>
    <w:rsid w:val="00043E52"/>
    <w:rsid w:val="00051C70"/>
    <w:rsid w:val="000561A7"/>
    <w:rsid w:val="000571D5"/>
    <w:rsid w:val="00063432"/>
    <w:rsid w:val="00073B22"/>
    <w:rsid w:val="00081409"/>
    <w:rsid w:val="00084101"/>
    <w:rsid w:val="00090002"/>
    <w:rsid w:val="000A1C8B"/>
    <w:rsid w:val="000A2D9E"/>
    <w:rsid w:val="000B01EA"/>
    <w:rsid w:val="000B3E05"/>
    <w:rsid w:val="000B4A98"/>
    <w:rsid w:val="000B7579"/>
    <w:rsid w:val="000D1DEB"/>
    <w:rsid w:val="000D3297"/>
    <w:rsid w:val="000F4893"/>
    <w:rsid w:val="0010634B"/>
    <w:rsid w:val="00107C97"/>
    <w:rsid w:val="00111D5C"/>
    <w:rsid w:val="001166DE"/>
    <w:rsid w:val="00122003"/>
    <w:rsid w:val="00122EFD"/>
    <w:rsid w:val="00125732"/>
    <w:rsid w:val="001269DB"/>
    <w:rsid w:val="00134422"/>
    <w:rsid w:val="00134A87"/>
    <w:rsid w:val="00136500"/>
    <w:rsid w:val="00141D6E"/>
    <w:rsid w:val="00143014"/>
    <w:rsid w:val="001440F5"/>
    <w:rsid w:val="001470B7"/>
    <w:rsid w:val="001610EE"/>
    <w:rsid w:val="001657DB"/>
    <w:rsid w:val="00171512"/>
    <w:rsid w:val="00176917"/>
    <w:rsid w:val="00194DE4"/>
    <w:rsid w:val="00196854"/>
    <w:rsid w:val="00196EEA"/>
    <w:rsid w:val="00197D25"/>
    <w:rsid w:val="001A77C8"/>
    <w:rsid w:val="001A7B85"/>
    <w:rsid w:val="001A7C28"/>
    <w:rsid w:val="001C1B2C"/>
    <w:rsid w:val="001C32F0"/>
    <w:rsid w:val="001C3B3B"/>
    <w:rsid w:val="001E2C65"/>
    <w:rsid w:val="001F47EC"/>
    <w:rsid w:val="001F7927"/>
    <w:rsid w:val="0020098F"/>
    <w:rsid w:val="00202A16"/>
    <w:rsid w:val="00203994"/>
    <w:rsid w:val="00210E3A"/>
    <w:rsid w:val="0021281E"/>
    <w:rsid w:val="002224FF"/>
    <w:rsid w:val="002228DE"/>
    <w:rsid w:val="00223051"/>
    <w:rsid w:val="00223262"/>
    <w:rsid w:val="00225041"/>
    <w:rsid w:val="00231105"/>
    <w:rsid w:val="002374E0"/>
    <w:rsid w:val="002375F3"/>
    <w:rsid w:val="002447D5"/>
    <w:rsid w:val="00245E76"/>
    <w:rsid w:val="00250176"/>
    <w:rsid w:val="00250E52"/>
    <w:rsid w:val="002514A2"/>
    <w:rsid w:val="00252DF1"/>
    <w:rsid w:val="00253233"/>
    <w:rsid w:val="00267394"/>
    <w:rsid w:val="00274A1C"/>
    <w:rsid w:val="0027771D"/>
    <w:rsid w:val="0028422F"/>
    <w:rsid w:val="00292184"/>
    <w:rsid w:val="002A4D92"/>
    <w:rsid w:val="002A53E8"/>
    <w:rsid w:val="002A6B03"/>
    <w:rsid w:val="002B6767"/>
    <w:rsid w:val="002C1615"/>
    <w:rsid w:val="002C224D"/>
    <w:rsid w:val="002C7B45"/>
    <w:rsid w:val="002D1842"/>
    <w:rsid w:val="002D20E7"/>
    <w:rsid w:val="002D7436"/>
    <w:rsid w:val="002E1AD0"/>
    <w:rsid w:val="002E368B"/>
    <w:rsid w:val="002F70B8"/>
    <w:rsid w:val="002F7713"/>
    <w:rsid w:val="0030425E"/>
    <w:rsid w:val="003045E1"/>
    <w:rsid w:val="00307C34"/>
    <w:rsid w:val="00310458"/>
    <w:rsid w:val="00313653"/>
    <w:rsid w:val="00331BC8"/>
    <w:rsid w:val="003356A9"/>
    <w:rsid w:val="00337C97"/>
    <w:rsid w:val="00343C95"/>
    <w:rsid w:val="003459CB"/>
    <w:rsid w:val="0036344C"/>
    <w:rsid w:val="00364F42"/>
    <w:rsid w:val="00366E0D"/>
    <w:rsid w:val="003709BA"/>
    <w:rsid w:val="00371577"/>
    <w:rsid w:val="00372603"/>
    <w:rsid w:val="0038409D"/>
    <w:rsid w:val="003900AE"/>
    <w:rsid w:val="0039303F"/>
    <w:rsid w:val="003C04B8"/>
    <w:rsid w:val="003C0E29"/>
    <w:rsid w:val="003C6462"/>
    <w:rsid w:val="003D0179"/>
    <w:rsid w:val="003D2989"/>
    <w:rsid w:val="003D5527"/>
    <w:rsid w:val="003D7DD2"/>
    <w:rsid w:val="003E4FB1"/>
    <w:rsid w:val="003F1C08"/>
    <w:rsid w:val="00403393"/>
    <w:rsid w:val="00406728"/>
    <w:rsid w:val="00411607"/>
    <w:rsid w:val="004215A4"/>
    <w:rsid w:val="004220C2"/>
    <w:rsid w:val="00431513"/>
    <w:rsid w:val="004404B6"/>
    <w:rsid w:val="00446477"/>
    <w:rsid w:val="0045034A"/>
    <w:rsid w:val="00453EB8"/>
    <w:rsid w:val="004559B6"/>
    <w:rsid w:val="004746CE"/>
    <w:rsid w:val="00485D40"/>
    <w:rsid w:val="00485E91"/>
    <w:rsid w:val="00486296"/>
    <w:rsid w:val="00491C85"/>
    <w:rsid w:val="00495BEB"/>
    <w:rsid w:val="00496CAF"/>
    <w:rsid w:val="004B4D54"/>
    <w:rsid w:val="004B6080"/>
    <w:rsid w:val="004B6A08"/>
    <w:rsid w:val="004D1BBE"/>
    <w:rsid w:val="004E616C"/>
    <w:rsid w:val="004F19C6"/>
    <w:rsid w:val="00503DCC"/>
    <w:rsid w:val="005202D8"/>
    <w:rsid w:val="00520FD9"/>
    <w:rsid w:val="00532A36"/>
    <w:rsid w:val="00553545"/>
    <w:rsid w:val="00554A5B"/>
    <w:rsid w:val="00555419"/>
    <w:rsid w:val="0055546B"/>
    <w:rsid w:val="00561A51"/>
    <w:rsid w:val="00567569"/>
    <w:rsid w:val="00573585"/>
    <w:rsid w:val="005810C7"/>
    <w:rsid w:val="00587A1D"/>
    <w:rsid w:val="00591D28"/>
    <w:rsid w:val="00591EE1"/>
    <w:rsid w:val="0059222F"/>
    <w:rsid w:val="005A136C"/>
    <w:rsid w:val="005B3649"/>
    <w:rsid w:val="005B4F4D"/>
    <w:rsid w:val="005C6921"/>
    <w:rsid w:val="005D035C"/>
    <w:rsid w:val="005D1473"/>
    <w:rsid w:val="005D7469"/>
    <w:rsid w:val="00601B0C"/>
    <w:rsid w:val="00604DBD"/>
    <w:rsid w:val="00606456"/>
    <w:rsid w:val="00612A7D"/>
    <w:rsid w:val="00617620"/>
    <w:rsid w:val="00631AC2"/>
    <w:rsid w:val="00633BFF"/>
    <w:rsid w:val="00641C94"/>
    <w:rsid w:val="00642401"/>
    <w:rsid w:val="0064341D"/>
    <w:rsid w:val="00643A5C"/>
    <w:rsid w:val="00650DF6"/>
    <w:rsid w:val="0065265A"/>
    <w:rsid w:val="00652F5B"/>
    <w:rsid w:val="00653322"/>
    <w:rsid w:val="00657650"/>
    <w:rsid w:val="00663F3F"/>
    <w:rsid w:val="006662EE"/>
    <w:rsid w:val="006733FB"/>
    <w:rsid w:val="006762D1"/>
    <w:rsid w:val="00681748"/>
    <w:rsid w:val="00681F76"/>
    <w:rsid w:val="00682BAA"/>
    <w:rsid w:val="00687F63"/>
    <w:rsid w:val="00691B1B"/>
    <w:rsid w:val="00694F89"/>
    <w:rsid w:val="006B7EDF"/>
    <w:rsid w:val="006C6F50"/>
    <w:rsid w:val="006D291D"/>
    <w:rsid w:val="006D54C4"/>
    <w:rsid w:val="006F432C"/>
    <w:rsid w:val="006F5ED4"/>
    <w:rsid w:val="006F7814"/>
    <w:rsid w:val="006F79FE"/>
    <w:rsid w:val="0070414F"/>
    <w:rsid w:val="007042FC"/>
    <w:rsid w:val="00713EF5"/>
    <w:rsid w:val="00716EA7"/>
    <w:rsid w:val="00717B02"/>
    <w:rsid w:val="00721290"/>
    <w:rsid w:val="00730E35"/>
    <w:rsid w:val="00733EA7"/>
    <w:rsid w:val="00752F20"/>
    <w:rsid w:val="00754655"/>
    <w:rsid w:val="007566BA"/>
    <w:rsid w:val="007608FE"/>
    <w:rsid w:val="00762AFA"/>
    <w:rsid w:val="00780900"/>
    <w:rsid w:val="007857E6"/>
    <w:rsid w:val="00785AAE"/>
    <w:rsid w:val="00790FFD"/>
    <w:rsid w:val="007A5EF9"/>
    <w:rsid w:val="007A64A1"/>
    <w:rsid w:val="007C108B"/>
    <w:rsid w:val="007C2D7D"/>
    <w:rsid w:val="007C723C"/>
    <w:rsid w:val="007C7727"/>
    <w:rsid w:val="007D5271"/>
    <w:rsid w:val="007E0262"/>
    <w:rsid w:val="007E15E3"/>
    <w:rsid w:val="007E743F"/>
    <w:rsid w:val="007F456C"/>
    <w:rsid w:val="007F4CDE"/>
    <w:rsid w:val="007F58AC"/>
    <w:rsid w:val="007F5DFC"/>
    <w:rsid w:val="008014C4"/>
    <w:rsid w:val="008113EF"/>
    <w:rsid w:val="008125AC"/>
    <w:rsid w:val="00814116"/>
    <w:rsid w:val="00830B2A"/>
    <w:rsid w:val="008324B1"/>
    <w:rsid w:val="008472F5"/>
    <w:rsid w:val="00853B5D"/>
    <w:rsid w:val="00862712"/>
    <w:rsid w:val="00862FF4"/>
    <w:rsid w:val="008678DE"/>
    <w:rsid w:val="0087295C"/>
    <w:rsid w:val="00872989"/>
    <w:rsid w:val="008776F6"/>
    <w:rsid w:val="008831FC"/>
    <w:rsid w:val="00883912"/>
    <w:rsid w:val="008873A5"/>
    <w:rsid w:val="00887423"/>
    <w:rsid w:val="008924A2"/>
    <w:rsid w:val="00892D6F"/>
    <w:rsid w:val="008A44D4"/>
    <w:rsid w:val="008A4BD9"/>
    <w:rsid w:val="008A6276"/>
    <w:rsid w:val="008B2D30"/>
    <w:rsid w:val="008D29AE"/>
    <w:rsid w:val="008D2D18"/>
    <w:rsid w:val="008D5BA1"/>
    <w:rsid w:val="008D7375"/>
    <w:rsid w:val="008E35DE"/>
    <w:rsid w:val="008E6516"/>
    <w:rsid w:val="008E7E0C"/>
    <w:rsid w:val="008F00CE"/>
    <w:rsid w:val="008F1FFA"/>
    <w:rsid w:val="00903E6F"/>
    <w:rsid w:val="009145AF"/>
    <w:rsid w:val="0091609F"/>
    <w:rsid w:val="00920F01"/>
    <w:rsid w:val="00922B9C"/>
    <w:rsid w:val="00950858"/>
    <w:rsid w:val="00954BEA"/>
    <w:rsid w:val="00957FD8"/>
    <w:rsid w:val="0096673C"/>
    <w:rsid w:val="00967D3F"/>
    <w:rsid w:val="00970371"/>
    <w:rsid w:val="00970E1C"/>
    <w:rsid w:val="009738E6"/>
    <w:rsid w:val="00976976"/>
    <w:rsid w:val="00977AC9"/>
    <w:rsid w:val="00980C9A"/>
    <w:rsid w:val="0098481B"/>
    <w:rsid w:val="00991867"/>
    <w:rsid w:val="00991ADC"/>
    <w:rsid w:val="00995598"/>
    <w:rsid w:val="009A1535"/>
    <w:rsid w:val="009A6B3F"/>
    <w:rsid w:val="009C1A6B"/>
    <w:rsid w:val="009D22A0"/>
    <w:rsid w:val="009D5B17"/>
    <w:rsid w:val="009E686E"/>
    <w:rsid w:val="009E7478"/>
    <w:rsid w:val="00A02B1F"/>
    <w:rsid w:val="00A11E7E"/>
    <w:rsid w:val="00A13734"/>
    <w:rsid w:val="00A1420C"/>
    <w:rsid w:val="00A1422E"/>
    <w:rsid w:val="00A17BBE"/>
    <w:rsid w:val="00A354B7"/>
    <w:rsid w:val="00A3786D"/>
    <w:rsid w:val="00A411FF"/>
    <w:rsid w:val="00A448A5"/>
    <w:rsid w:val="00A47630"/>
    <w:rsid w:val="00A57077"/>
    <w:rsid w:val="00A637B7"/>
    <w:rsid w:val="00A63D6F"/>
    <w:rsid w:val="00A71D6E"/>
    <w:rsid w:val="00A85C7A"/>
    <w:rsid w:val="00A86F51"/>
    <w:rsid w:val="00A916F0"/>
    <w:rsid w:val="00A96BD9"/>
    <w:rsid w:val="00AA2C69"/>
    <w:rsid w:val="00AA795A"/>
    <w:rsid w:val="00AB4AAF"/>
    <w:rsid w:val="00AE529B"/>
    <w:rsid w:val="00AE6CD8"/>
    <w:rsid w:val="00B074DA"/>
    <w:rsid w:val="00B10917"/>
    <w:rsid w:val="00B25EA3"/>
    <w:rsid w:val="00B3083C"/>
    <w:rsid w:val="00B31AAF"/>
    <w:rsid w:val="00B3265B"/>
    <w:rsid w:val="00B4396F"/>
    <w:rsid w:val="00B50409"/>
    <w:rsid w:val="00B56043"/>
    <w:rsid w:val="00B63BE9"/>
    <w:rsid w:val="00B671CE"/>
    <w:rsid w:val="00B82937"/>
    <w:rsid w:val="00B86FD8"/>
    <w:rsid w:val="00BA10C1"/>
    <w:rsid w:val="00BA69FA"/>
    <w:rsid w:val="00BA7BB6"/>
    <w:rsid w:val="00BB1CDB"/>
    <w:rsid w:val="00BB4ED0"/>
    <w:rsid w:val="00BB54FF"/>
    <w:rsid w:val="00BB6611"/>
    <w:rsid w:val="00BB7853"/>
    <w:rsid w:val="00BC216E"/>
    <w:rsid w:val="00BC28F5"/>
    <w:rsid w:val="00BC3263"/>
    <w:rsid w:val="00BD1A51"/>
    <w:rsid w:val="00BD7427"/>
    <w:rsid w:val="00BE377A"/>
    <w:rsid w:val="00BE48D9"/>
    <w:rsid w:val="00BE7C78"/>
    <w:rsid w:val="00BF0A04"/>
    <w:rsid w:val="00C20A57"/>
    <w:rsid w:val="00C2114C"/>
    <w:rsid w:val="00C22796"/>
    <w:rsid w:val="00C252AC"/>
    <w:rsid w:val="00C32B6A"/>
    <w:rsid w:val="00C3429A"/>
    <w:rsid w:val="00C47CDD"/>
    <w:rsid w:val="00C502DB"/>
    <w:rsid w:val="00C52AE9"/>
    <w:rsid w:val="00C6212B"/>
    <w:rsid w:val="00C62990"/>
    <w:rsid w:val="00C701D4"/>
    <w:rsid w:val="00C725E3"/>
    <w:rsid w:val="00C75DF9"/>
    <w:rsid w:val="00C775EF"/>
    <w:rsid w:val="00C77EEC"/>
    <w:rsid w:val="00C81A55"/>
    <w:rsid w:val="00CA17FD"/>
    <w:rsid w:val="00CA1A1E"/>
    <w:rsid w:val="00CA54C5"/>
    <w:rsid w:val="00CB2869"/>
    <w:rsid w:val="00CB4A54"/>
    <w:rsid w:val="00CB5B7E"/>
    <w:rsid w:val="00CB5F79"/>
    <w:rsid w:val="00CC6557"/>
    <w:rsid w:val="00CE0B79"/>
    <w:rsid w:val="00CE6577"/>
    <w:rsid w:val="00CF3212"/>
    <w:rsid w:val="00D070F7"/>
    <w:rsid w:val="00D07989"/>
    <w:rsid w:val="00D15C09"/>
    <w:rsid w:val="00D17607"/>
    <w:rsid w:val="00D21843"/>
    <w:rsid w:val="00D301BD"/>
    <w:rsid w:val="00D3569F"/>
    <w:rsid w:val="00D36D36"/>
    <w:rsid w:val="00D44937"/>
    <w:rsid w:val="00D536D0"/>
    <w:rsid w:val="00D66DD6"/>
    <w:rsid w:val="00D75B4B"/>
    <w:rsid w:val="00DA44AC"/>
    <w:rsid w:val="00DA6BEB"/>
    <w:rsid w:val="00DB06CE"/>
    <w:rsid w:val="00DB2D0E"/>
    <w:rsid w:val="00DB3092"/>
    <w:rsid w:val="00DC276A"/>
    <w:rsid w:val="00DC48FA"/>
    <w:rsid w:val="00DD0962"/>
    <w:rsid w:val="00DD3BC8"/>
    <w:rsid w:val="00DD3F39"/>
    <w:rsid w:val="00DF18E0"/>
    <w:rsid w:val="00DF39C3"/>
    <w:rsid w:val="00E00E7B"/>
    <w:rsid w:val="00E07D1D"/>
    <w:rsid w:val="00E2330A"/>
    <w:rsid w:val="00E26E0D"/>
    <w:rsid w:val="00E32641"/>
    <w:rsid w:val="00E33104"/>
    <w:rsid w:val="00E336EF"/>
    <w:rsid w:val="00E35862"/>
    <w:rsid w:val="00E35B18"/>
    <w:rsid w:val="00E52489"/>
    <w:rsid w:val="00E5339C"/>
    <w:rsid w:val="00E617CC"/>
    <w:rsid w:val="00E66A73"/>
    <w:rsid w:val="00E75C05"/>
    <w:rsid w:val="00E81AD8"/>
    <w:rsid w:val="00E83B8D"/>
    <w:rsid w:val="00E84889"/>
    <w:rsid w:val="00E91504"/>
    <w:rsid w:val="00E96832"/>
    <w:rsid w:val="00EA0347"/>
    <w:rsid w:val="00EA1353"/>
    <w:rsid w:val="00EA7C7E"/>
    <w:rsid w:val="00EB3C6C"/>
    <w:rsid w:val="00EB5F66"/>
    <w:rsid w:val="00EC616D"/>
    <w:rsid w:val="00EC773D"/>
    <w:rsid w:val="00ED0C82"/>
    <w:rsid w:val="00ED3148"/>
    <w:rsid w:val="00ED4E97"/>
    <w:rsid w:val="00ED50BF"/>
    <w:rsid w:val="00EE2C33"/>
    <w:rsid w:val="00EE620E"/>
    <w:rsid w:val="00EF0A7B"/>
    <w:rsid w:val="00EF47DA"/>
    <w:rsid w:val="00F02ED0"/>
    <w:rsid w:val="00F2253F"/>
    <w:rsid w:val="00F23A0E"/>
    <w:rsid w:val="00F2481B"/>
    <w:rsid w:val="00F2797E"/>
    <w:rsid w:val="00F33010"/>
    <w:rsid w:val="00F46B7A"/>
    <w:rsid w:val="00F5508E"/>
    <w:rsid w:val="00F56108"/>
    <w:rsid w:val="00F56F14"/>
    <w:rsid w:val="00F648E8"/>
    <w:rsid w:val="00F65551"/>
    <w:rsid w:val="00F77D1C"/>
    <w:rsid w:val="00F81D13"/>
    <w:rsid w:val="00F85837"/>
    <w:rsid w:val="00F97454"/>
    <w:rsid w:val="00FA0DD3"/>
    <w:rsid w:val="00FA100F"/>
    <w:rsid w:val="00FB3FE1"/>
    <w:rsid w:val="00FD318A"/>
    <w:rsid w:val="00FD6DBD"/>
    <w:rsid w:val="00FE40D5"/>
    <w:rsid w:val="00FE546C"/>
    <w:rsid w:val="00FE67D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1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DefaultParagraphFont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3569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02B1F"/>
    <w:pPr>
      <w:overflowPunct/>
      <w:autoSpaceDE/>
      <w:autoSpaceDN/>
      <w:adjustRightInd/>
      <w:spacing w:after="120" w:line="276" w:lineRule="auto"/>
    </w:pPr>
    <w:rPr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A02B1F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1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DefaultParagraphFont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3569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02B1F"/>
    <w:pPr>
      <w:overflowPunct/>
      <w:autoSpaceDE/>
      <w:autoSpaceDN/>
      <w:adjustRightInd/>
      <w:spacing w:after="120" w:line="276" w:lineRule="auto"/>
    </w:pPr>
    <w:rPr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A02B1F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FB9E6-52F8-44F9-93CF-69C2C678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2526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Windows User</cp:lastModifiedBy>
  <cp:revision>10</cp:revision>
  <cp:lastPrinted>2020-12-14T13:34:00Z</cp:lastPrinted>
  <dcterms:created xsi:type="dcterms:W3CDTF">2018-12-20T14:55:00Z</dcterms:created>
  <dcterms:modified xsi:type="dcterms:W3CDTF">2020-12-14T13:34:00Z</dcterms:modified>
</cp:coreProperties>
</file>